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43FAF5">
      <w:pPr>
        <w:jc w:val="left"/>
        <w:rPr>
          <w:rFonts w:ascii="仿宋_GB2312" w:eastAsia="仿宋_GB2312"/>
          <w:sz w:val="32"/>
          <w:szCs w:val="32"/>
        </w:rPr>
      </w:pPr>
      <w:r>
        <w:rPr>
          <w:rFonts w:ascii="仿宋_GB2312" w:eastAsia="仿宋_GB2312"/>
          <w:sz w:val="32"/>
          <w:szCs w:val="32"/>
        </w:rPr>
        <w:drawing>
          <wp:anchor distT="0" distB="0" distL="114300" distR="114300" simplePos="0" relativeHeight="251659264" behindDoc="1" locked="0" layoutInCell="1" allowOverlap="1">
            <wp:simplePos x="0" y="0"/>
            <wp:positionH relativeFrom="column">
              <wp:posOffset>-913765</wp:posOffset>
            </wp:positionH>
            <wp:positionV relativeFrom="paragraph">
              <wp:posOffset>-1189990</wp:posOffset>
            </wp:positionV>
            <wp:extent cx="7331075" cy="10371455"/>
            <wp:effectExtent l="0" t="0" r="3810" b="0"/>
            <wp:wrapNone/>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7337104" cy="10380121"/>
                    </a:xfrm>
                    <a:prstGeom prst="rect">
                      <a:avLst/>
                    </a:prstGeom>
                  </pic:spPr>
                </pic:pic>
              </a:graphicData>
            </a:graphic>
          </wp:anchor>
        </w:drawing>
      </w:r>
    </w:p>
    <w:p w14:paraId="6A9B4DAF">
      <w:pPr>
        <w:widowControl/>
        <w:jc w:val="left"/>
        <w:rPr>
          <w:rFonts w:ascii="仿宋" w:hAnsi="仿宋" w:eastAsia="仿宋"/>
          <w:snapToGrid w:val="0"/>
          <w:sz w:val="32"/>
          <w:szCs w:val="32"/>
        </w:rPr>
      </w:pPr>
      <w:r>
        <w:rPr>
          <w:rFonts w:ascii="仿宋" w:hAnsi="仿宋" w:eastAsia="仿宋"/>
          <w:snapToGrid w:val="0"/>
          <w:sz w:val="32"/>
          <w:szCs w:val="32"/>
        </w:rPr>
        <w:br w:type="page"/>
      </w:r>
    </w:p>
    <w:p w14:paraId="6F1D4C99">
      <w:pPr>
        <w:spacing w:line="760" w:lineRule="exact"/>
        <w:jc w:val="left"/>
        <w:rPr>
          <w:rFonts w:ascii="仿宋_GB2312" w:eastAsia="仿宋_GB2312"/>
          <w:sz w:val="32"/>
          <w:szCs w:val="32"/>
        </w:rPr>
      </w:pPr>
      <w:r>
        <w:rPr>
          <w:rFonts w:hint="eastAsia" w:ascii="仿宋_GB2312" w:eastAsia="仿宋_GB2312"/>
          <w:sz w:val="32"/>
          <w:szCs w:val="32"/>
        </w:rPr>
        <w:t>附件：</w:t>
      </w:r>
    </w:p>
    <w:p w14:paraId="0ED7F87C">
      <w:pPr>
        <w:spacing w:line="760" w:lineRule="exact"/>
        <w:jc w:val="center"/>
        <w:rPr>
          <w:rFonts w:ascii="方正小标宋简体" w:eastAsia="方正小标宋简体"/>
          <w:sz w:val="44"/>
          <w:szCs w:val="44"/>
        </w:rPr>
      </w:pPr>
      <w:bookmarkStart w:id="0" w:name="_GoBack"/>
      <w:r>
        <w:rPr>
          <w:rFonts w:hint="eastAsia" w:ascii="方正小标宋简体" w:eastAsia="方正小标宋简体"/>
          <w:sz w:val="44"/>
          <w:szCs w:val="44"/>
        </w:rPr>
        <w:t>江苏省老年医学学会</w:t>
      </w:r>
    </w:p>
    <w:p w14:paraId="6801AF99">
      <w:pPr>
        <w:spacing w:line="760" w:lineRule="exact"/>
        <w:jc w:val="center"/>
        <w:rPr>
          <w:rFonts w:ascii="方正小标宋简体" w:eastAsia="方正小标宋简体"/>
          <w:sz w:val="44"/>
          <w:szCs w:val="44"/>
        </w:rPr>
      </w:pPr>
      <w:r>
        <w:rPr>
          <w:rFonts w:hint="eastAsia" w:ascii="方正小标宋简体" w:eastAsia="方正小标宋简体"/>
          <w:sz w:val="44"/>
          <w:szCs w:val="44"/>
        </w:rPr>
        <w:t>科研项目资助资金管理办法（暂行）</w:t>
      </w:r>
      <w:bookmarkEnd w:id="0"/>
    </w:p>
    <w:p w14:paraId="385B5802">
      <w:pPr>
        <w:jc w:val="center"/>
        <w:rPr>
          <w:rFonts w:eastAsia="方正黑体_GBK"/>
          <w:sz w:val="28"/>
          <w:szCs w:val="28"/>
        </w:rPr>
      </w:pPr>
    </w:p>
    <w:p w14:paraId="1CCD8157">
      <w:pPr>
        <w:spacing w:line="560" w:lineRule="exact"/>
        <w:ind w:firstLine="684" w:firstLineChars="200"/>
        <w:jc w:val="center"/>
        <w:rPr>
          <w:rFonts w:ascii="方正黑体_GBK" w:hAnsi="仿宋_GB2312" w:eastAsia="黑体" w:cs="仿宋_GB2312"/>
          <w:bCs/>
          <w:sz w:val="32"/>
          <w:szCs w:val="32"/>
        </w:rPr>
      </w:pPr>
      <w:r>
        <w:rPr>
          <w:rFonts w:hint="eastAsia" w:ascii="方正黑体_GBK" w:hAnsi="仿宋_GB2312" w:eastAsia="黑体" w:cs="仿宋_GB2312"/>
          <w:bCs/>
          <w:sz w:val="32"/>
          <w:szCs w:val="32"/>
        </w:rPr>
        <w:t>第一章</w:t>
      </w:r>
      <w:r>
        <w:rPr>
          <w:rFonts w:ascii="方正黑体_GBK" w:hAnsi="仿宋_GB2312" w:eastAsia="黑体" w:cs="仿宋_GB2312"/>
          <w:bCs/>
          <w:sz w:val="32"/>
          <w:szCs w:val="32"/>
        </w:rPr>
        <w:t xml:space="preserve">  </w:t>
      </w:r>
      <w:r>
        <w:rPr>
          <w:rFonts w:hint="eastAsia" w:ascii="方正黑体_GBK" w:hAnsi="仿宋_GB2312" w:eastAsia="黑体" w:cs="仿宋_GB2312"/>
          <w:bCs/>
          <w:sz w:val="32"/>
          <w:szCs w:val="32"/>
        </w:rPr>
        <w:t>总</w:t>
      </w:r>
      <w:r>
        <w:rPr>
          <w:rFonts w:ascii="方正黑体_GBK" w:hAnsi="仿宋_GB2312" w:eastAsia="黑体" w:cs="仿宋_GB2312"/>
          <w:bCs/>
          <w:sz w:val="32"/>
          <w:szCs w:val="32"/>
        </w:rPr>
        <w:t xml:space="preserve">  </w:t>
      </w:r>
      <w:r>
        <w:rPr>
          <w:rFonts w:hint="eastAsia" w:ascii="方正黑体_GBK" w:hAnsi="仿宋_GB2312" w:eastAsia="黑体" w:cs="仿宋_GB2312"/>
          <w:bCs/>
          <w:sz w:val="32"/>
          <w:szCs w:val="32"/>
        </w:rPr>
        <w:t>则</w:t>
      </w:r>
    </w:p>
    <w:p w14:paraId="35D7B638">
      <w:pPr>
        <w:spacing w:line="560" w:lineRule="exact"/>
        <w:ind w:firstLine="684" w:firstLineChars="200"/>
        <w:rPr>
          <w:rFonts w:ascii="仿宋" w:hAnsi="仿宋" w:eastAsia="仿宋"/>
          <w:snapToGrid w:val="0"/>
          <w:sz w:val="32"/>
          <w:szCs w:val="32"/>
        </w:rPr>
      </w:pPr>
      <w:r>
        <w:rPr>
          <w:rFonts w:hint="eastAsia" w:ascii="仿宋_GB2312" w:hAnsi="仿宋_GB2312" w:eastAsia="黑体" w:cs="仿宋_GB2312"/>
          <w:bCs/>
          <w:sz w:val="32"/>
          <w:szCs w:val="32"/>
        </w:rPr>
        <w:t>第一条</w:t>
      </w:r>
      <w:r>
        <w:rPr>
          <w:rFonts w:ascii="仿宋_GB2312" w:hAnsi="仿宋_GB2312" w:eastAsia="仿宋_GB2312" w:cs="仿宋_GB2312"/>
          <w:sz w:val="32"/>
          <w:szCs w:val="32"/>
        </w:rPr>
        <w:t xml:space="preserve">  </w:t>
      </w:r>
      <w:r>
        <w:rPr>
          <w:rFonts w:hint="eastAsia" w:ascii="仿宋" w:hAnsi="仿宋" w:eastAsia="仿宋"/>
          <w:snapToGrid w:val="0"/>
          <w:sz w:val="32"/>
          <w:szCs w:val="32"/>
        </w:rPr>
        <w:t>为规范和加强科研项目资助资金的使用管理，提高资金使用效益，更好地推动我省老年医学领域的发展与创新，根据国务院《关于进一步完善中央财政科研项目资金管理等政策的若干意见》、《江苏省省级科技专项资金管理暂行办法》（苏财规〔</w:t>
      </w:r>
      <w:r>
        <w:rPr>
          <w:rFonts w:ascii="仿宋" w:hAnsi="仿宋" w:eastAsia="仿宋"/>
          <w:snapToGrid w:val="0"/>
          <w:sz w:val="32"/>
          <w:szCs w:val="32"/>
        </w:rPr>
        <w:t>2013</w:t>
      </w:r>
      <w:r>
        <w:rPr>
          <w:rFonts w:hint="eastAsia" w:ascii="仿宋" w:hAnsi="仿宋" w:eastAsia="仿宋"/>
          <w:snapToGrid w:val="0"/>
          <w:sz w:val="32"/>
          <w:szCs w:val="32"/>
        </w:rPr>
        <w:t>〕</w:t>
      </w:r>
      <w:r>
        <w:rPr>
          <w:rFonts w:ascii="仿宋" w:hAnsi="仿宋" w:eastAsia="仿宋"/>
          <w:snapToGrid w:val="0"/>
          <w:sz w:val="32"/>
          <w:szCs w:val="32"/>
        </w:rPr>
        <w:t>19</w:t>
      </w:r>
      <w:r>
        <w:rPr>
          <w:rFonts w:hint="eastAsia" w:ascii="仿宋" w:hAnsi="仿宋" w:eastAsia="仿宋"/>
          <w:snapToGrid w:val="0"/>
          <w:sz w:val="32"/>
          <w:szCs w:val="32"/>
        </w:rPr>
        <w:t>号），制定本办法。</w:t>
      </w:r>
    </w:p>
    <w:p w14:paraId="28EF0E9F">
      <w:pPr>
        <w:spacing w:line="560" w:lineRule="exact"/>
        <w:ind w:firstLine="684" w:firstLineChars="200"/>
        <w:rPr>
          <w:rFonts w:ascii="仿宋" w:hAnsi="仿宋" w:eastAsia="仿宋"/>
          <w:snapToGrid w:val="0"/>
          <w:sz w:val="32"/>
          <w:szCs w:val="32"/>
        </w:rPr>
      </w:pPr>
      <w:r>
        <w:rPr>
          <w:rFonts w:hint="eastAsia" w:ascii="仿宋_GB2312" w:hAnsi="仿宋_GB2312" w:eastAsia="黑体" w:cs="仿宋_GB2312"/>
          <w:bCs/>
          <w:sz w:val="32"/>
          <w:szCs w:val="32"/>
        </w:rPr>
        <w:t>第二条</w:t>
      </w:r>
      <w:r>
        <w:rPr>
          <w:rFonts w:ascii="仿宋_GB2312" w:hAnsi="仿宋_GB2312" w:eastAsia="仿宋_GB2312" w:cs="仿宋_GB2312"/>
          <w:sz w:val="32"/>
          <w:szCs w:val="32"/>
        </w:rPr>
        <w:t xml:space="preserve">  </w:t>
      </w:r>
      <w:r>
        <w:rPr>
          <w:rFonts w:hint="eastAsia" w:ascii="仿宋" w:hAnsi="仿宋" w:eastAsia="仿宋"/>
          <w:snapToGrid w:val="0"/>
          <w:sz w:val="32"/>
          <w:szCs w:val="32"/>
        </w:rPr>
        <w:t>本办法适用于江苏省老年医学学会及各分支机构。</w:t>
      </w:r>
    </w:p>
    <w:p w14:paraId="1609330C">
      <w:pPr>
        <w:spacing w:line="560" w:lineRule="exact"/>
        <w:ind w:firstLine="684" w:firstLineChars="200"/>
        <w:rPr>
          <w:rFonts w:ascii="仿宋_GB2312" w:hAnsi="仿宋_GB2312" w:eastAsia="仿宋_GB2312" w:cs="仿宋_GB2312"/>
          <w:sz w:val="32"/>
          <w:szCs w:val="32"/>
        </w:rPr>
      </w:pPr>
      <w:r>
        <w:rPr>
          <w:rFonts w:hint="eastAsia" w:ascii="仿宋_GB2312" w:hAnsi="仿宋_GB2312" w:eastAsia="黑体" w:cs="仿宋_GB2312"/>
          <w:bCs/>
          <w:sz w:val="32"/>
          <w:szCs w:val="32"/>
        </w:rPr>
        <w:t>第三条</w:t>
      </w:r>
      <w:r>
        <w:rPr>
          <w:rFonts w:ascii="仿宋_GB2312" w:hAnsi="仿宋_GB2312" w:eastAsia="仿宋_GB2312" w:cs="仿宋_GB2312"/>
          <w:sz w:val="32"/>
          <w:szCs w:val="32"/>
        </w:rPr>
        <w:t xml:space="preserve">  </w:t>
      </w:r>
      <w:r>
        <w:rPr>
          <w:rFonts w:hint="eastAsia" w:ascii="仿宋" w:hAnsi="仿宋" w:eastAsia="仿宋"/>
          <w:snapToGrid w:val="0"/>
          <w:sz w:val="32"/>
          <w:szCs w:val="32"/>
        </w:rPr>
        <w:t>本办法所称资助资金，是指专门用于资助老年医学领域临床与基础研究计划，并为提升我省老年医学领域自主创新能力提供技术和人才储备的专项资金。</w:t>
      </w:r>
    </w:p>
    <w:p w14:paraId="46AA292A">
      <w:pPr>
        <w:spacing w:line="560" w:lineRule="exact"/>
        <w:jc w:val="center"/>
        <w:rPr>
          <w:rFonts w:ascii="方正黑体_GBK" w:hAnsi="仿宋_GB2312" w:eastAsia="黑体" w:cs="仿宋_GB2312"/>
          <w:bCs/>
          <w:sz w:val="32"/>
          <w:szCs w:val="32"/>
        </w:rPr>
      </w:pPr>
      <w:r>
        <w:rPr>
          <w:rFonts w:hint="eastAsia" w:ascii="方正黑体_GBK" w:hAnsi="仿宋_GB2312" w:eastAsia="黑体" w:cs="仿宋_GB2312"/>
          <w:bCs/>
          <w:sz w:val="32"/>
          <w:szCs w:val="32"/>
        </w:rPr>
        <w:t>第二章</w:t>
      </w:r>
      <w:r>
        <w:rPr>
          <w:rFonts w:ascii="方正黑体_GBK" w:hAnsi="仿宋_GB2312" w:eastAsia="黑体" w:cs="仿宋_GB2312"/>
          <w:bCs/>
          <w:sz w:val="32"/>
          <w:szCs w:val="32"/>
        </w:rPr>
        <w:t xml:space="preserve">  </w:t>
      </w:r>
      <w:r>
        <w:rPr>
          <w:rFonts w:hint="eastAsia" w:ascii="方正黑体_GBK" w:hAnsi="仿宋_GB2312" w:eastAsia="黑体" w:cs="仿宋_GB2312"/>
          <w:bCs/>
          <w:sz w:val="32"/>
          <w:szCs w:val="32"/>
        </w:rPr>
        <w:t>资助资金使用与管理</w:t>
      </w:r>
    </w:p>
    <w:p w14:paraId="052D4D77">
      <w:pPr>
        <w:spacing w:line="560" w:lineRule="exact"/>
        <w:ind w:firstLine="684" w:firstLineChars="200"/>
        <w:rPr>
          <w:rFonts w:ascii="仿宋" w:hAnsi="仿宋" w:eastAsia="仿宋"/>
          <w:snapToGrid w:val="0"/>
          <w:sz w:val="32"/>
          <w:szCs w:val="32"/>
        </w:rPr>
      </w:pPr>
      <w:r>
        <w:rPr>
          <w:rFonts w:hint="eastAsia" w:ascii="仿宋_GB2312" w:hAnsi="仿宋_GB2312" w:eastAsia="黑体" w:cs="仿宋_GB2312"/>
          <w:bCs/>
          <w:sz w:val="32"/>
          <w:szCs w:val="32"/>
        </w:rPr>
        <w:t>第四条</w:t>
      </w:r>
      <w:r>
        <w:rPr>
          <w:rFonts w:ascii="仿宋_GB2312" w:hAnsi="仿宋_GB2312" w:eastAsia="仿宋_GB2312" w:cs="仿宋_GB2312"/>
          <w:b/>
          <w:bCs/>
          <w:sz w:val="32"/>
          <w:szCs w:val="32"/>
        </w:rPr>
        <w:t xml:space="preserve">  </w:t>
      </w:r>
      <w:r>
        <w:rPr>
          <w:rFonts w:hint="eastAsia" w:ascii="仿宋" w:hAnsi="仿宋" w:eastAsia="仿宋"/>
          <w:snapToGrid w:val="0"/>
          <w:sz w:val="32"/>
          <w:szCs w:val="32"/>
        </w:rPr>
        <w:t>资助资金的使用和管理充分体现学会目标导向，遵循</w:t>
      </w:r>
      <w:r>
        <w:rPr>
          <w:rFonts w:ascii="仿宋" w:hAnsi="仿宋" w:eastAsia="仿宋"/>
          <w:snapToGrid w:val="0"/>
          <w:sz w:val="32"/>
          <w:szCs w:val="32"/>
        </w:rPr>
        <w:t>“</w:t>
      </w:r>
      <w:r>
        <w:rPr>
          <w:rFonts w:hint="eastAsia" w:ascii="仿宋" w:hAnsi="仿宋" w:eastAsia="仿宋"/>
          <w:snapToGrid w:val="0"/>
          <w:sz w:val="32"/>
          <w:szCs w:val="32"/>
        </w:rPr>
        <w:t>集中财力、突出重点，分类支持、多元投入，单独核算、专款专用，科学安排、注重绩效</w:t>
      </w:r>
      <w:r>
        <w:rPr>
          <w:rFonts w:ascii="仿宋" w:hAnsi="仿宋" w:eastAsia="仿宋"/>
          <w:snapToGrid w:val="0"/>
          <w:sz w:val="32"/>
          <w:szCs w:val="32"/>
        </w:rPr>
        <w:t>”</w:t>
      </w:r>
      <w:r>
        <w:rPr>
          <w:rFonts w:hint="eastAsia" w:ascii="仿宋" w:hAnsi="仿宋" w:eastAsia="仿宋"/>
          <w:snapToGrid w:val="0"/>
          <w:sz w:val="32"/>
          <w:szCs w:val="32"/>
        </w:rPr>
        <w:t>的原则。由学会设立并管理。</w:t>
      </w:r>
    </w:p>
    <w:p w14:paraId="6437AA8F">
      <w:pPr>
        <w:spacing w:line="560" w:lineRule="exact"/>
        <w:ind w:firstLine="684" w:firstLineChars="200"/>
        <w:rPr>
          <w:rFonts w:ascii="仿宋" w:hAnsi="仿宋" w:eastAsia="仿宋"/>
          <w:snapToGrid w:val="0"/>
          <w:sz w:val="32"/>
          <w:szCs w:val="32"/>
        </w:rPr>
      </w:pPr>
      <w:r>
        <w:rPr>
          <w:rFonts w:hint="eastAsia" w:ascii="仿宋_GB2312" w:hAnsi="仿宋_GB2312" w:eastAsia="黑体" w:cs="仿宋_GB2312"/>
          <w:bCs/>
          <w:sz w:val="32"/>
          <w:szCs w:val="32"/>
        </w:rPr>
        <w:t>第五条</w:t>
      </w:r>
      <w:r>
        <w:rPr>
          <w:rFonts w:ascii="仿宋_GB2312" w:hAnsi="仿宋_GB2312" w:eastAsia="仿宋_GB2312" w:cs="仿宋_GB2312"/>
          <w:b/>
          <w:bCs/>
          <w:sz w:val="32"/>
          <w:szCs w:val="32"/>
        </w:rPr>
        <w:t xml:space="preserve">  </w:t>
      </w:r>
      <w:r>
        <w:rPr>
          <w:rFonts w:hint="eastAsia" w:ascii="仿宋" w:hAnsi="仿宋" w:eastAsia="仿宋"/>
          <w:snapToGrid w:val="0"/>
          <w:sz w:val="32"/>
          <w:szCs w:val="32"/>
        </w:rPr>
        <w:t>资助资金使用方向及要求</w:t>
      </w:r>
    </w:p>
    <w:p w14:paraId="21579ECF">
      <w:pPr>
        <w:spacing w:line="560" w:lineRule="exact"/>
        <w:ind w:firstLine="684" w:firstLineChars="200"/>
        <w:rPr>
          <w:rFonts w:ascii="仿宋" w:hAnsi="仿宋" w:eastAsia="仿宋"/>
          <w:snapToGrid w:val="0"/>
          <w:sz w:val="32"/>
          <w:szCs w:val="32"/>
        </w:rPr>
      </w:pPr>
      <w:r>
        <w:rPr>
          <w:rFonts w:hint="eastAsia" w:ascii="仿宋" w:hAnsi="仿宋" w:eastAsia="仿宋"/>
          <w:snapToGrid w:val="0"/>
          <w:sz w:val="32"/>
          <w:szCs w:val="32"/>
        </w:rPr>
        <w:t>资助资金资助的项目分为重点项目和面上项目二类，每年资助重点项目</w:t>
      </w:r>
      <w:r>
        <w:rPr>
          <w:rFonts w:ascii="仿宋" w:hAnsi="仿宋" w:eastAsia="仿宋"/>
          <w:snapToGrid w:val="0"/>
          <w:sz w:val="32"/>
          <w:szCs w:val="32"/>
        </w:rPr>
        <w:t>5</w:t>
      </w:r>
      <w:r>
        <w:rPr>
          <w:rFonts w:hint="eastAsia" w:ascii="仿宋" w:hAnsi="仿宋" w:eastAsia="仿宋"/>
          <w:snapToGrid w:val="0"/>
          <w:sz w:val="32"/>
          <w:szCs w:val="32"/>
        </w:rPr>
        <w:t>～</w:t>
      </w:r>
      <w:r>
        <w:rPr>
          <w:rFonts w:ascii="仿宋" w:hAnsi="仿宋" w:eastAsia="仿宋"/>
          <w:snapToGrid w:val="0"/>
          <w:sz w:val="32"/>
          <w:szCs w:val="32"/>
        </w:rPr>
        <w:t>10</w:t>
      </w:r>
      <w:r>
        <w:rPr>
          <w:rFonts w:hint="eastAsia" w:ascii="仿宋" w:hAnsi="仿宋" w:eastAsia="仿宋"/>
          <w:snapToGrid w:val="0"/>
          <w:sz w:val="32"/>
          <w:szCs w:val="32"/>
        </w:rPr>
        <w:t>项，面上项目</w:t>
      </w:r>
      <w:r>
        <w:rPr>
          <w:rFonts w:ascii="仿宋" w:hAnsi="仿宋" w:eastAsia="仿宋"/>
          <w:snapToGrid w:val="0"/>
          <w:sz w:val="32"/>
          <w:szCs w:val="32"/>
        </w:rPr>
        <w:t>20</w:t>
      </w:r>
      <w:r>
        <w:rPr>
          <w:rFonts w:hint="eastAsia" w:ascii="仿宋" w:hAnsi="仿宋" w:eastAsia="仿宋"/>
          <w:snapToGrid w:val="0"/>
          <w:sz w:val="32"/>
          <w:szCs w:val="32"/>
        </w:rPr>
        <w:t>～</w:t>
      </w:r>
      <w:r>
        <w:rPr>
          <w:rFonts w:ascii="仿宋" w:hAnsi="仿宋" w:eastAsia="仿宋"/>
          <w:snapToGrid w:val="0"/>
          <w:sz w:val="32"/>
          <w:szCs w:val="32"/>
        </w:rPr>
        <w:t>30</w:t>
      </w:r>
      <w:r>
        <w:rPr>
          <w:rFonts w:hint="eastAsia" w:ascii="仿宋" w:hAnsi="仿宋" w:eastAsia="仿宋"/>
          <w:snapToGrid w:val="0"/>
          <w:sz w:val="32"/>
          <w:szCs w:val="32"/>
        </w:rPr>
        <w:t>项。</w:t>
      </w:r>
    </w:p>
    <w:p w14:paraId="099D6B3D">
      <w:pPr>
        <w:numPr>
          <w:ilvl w:val="0"/>
          <w:numId w:val="1"/>
        </w:numPr>
        <w:spacing w:line="560" w:lineRule="exact"/>
        <w:ind w:firstLine="684" w:firstLineChars="200"/>
        <w:rPr>
          <w:rFonts w:ascii="仿宋" w:hAnsi="仿宋" w:eastAsia="仿宋"/>
          <w:snapToGrid w:val="0"/>
          <w:sz w:val="32"/>
          <w:szCs w:val="32"/>
        </w:rPr>
      </w:pPr>
      <w:r>
        <w:rPr>
          <w:rFonts w:hint="eastAsia" w:ascii="仿宋" w:hAnsi="仿宋" w:eastAsia="仿宋"/>
          <w:snapToGrid w:val="0"/>
          <w:sz w:val="32"/>
          <w:szCs w:val="32"/>
        </w:rPr>
        <w:t>重点项目：应符合指南规定的方向，有较好的前期研究基础，创新性强，研究目标与内容清晰明确，技术方案科学可行，预算合理，预计能明确得出阶段性成果。</w:t>
      </w:r>
    </w:p>
    <w:p w14:paraId="1B923232">
      <w:pPr>
        <w:spacing w:line="560" w:lineRule="exact"/>
        <w:ind w:firstLine="684" w:firstLineChars="200"/>
        <w:rPr>
          <w:rFonts w:ascii="仿宋" w:hAnsi="仿宋" w:eastAsia="仿宋"/>
          <w:snapToGrid w:val="0"/>
          <w:sz w:val="32"/>
          <w:szCs w:val="32"/>
        </w:rPr>
      </w:pPr>
      <w:r>
        <w:rPr>
          <w:rFonts w:hint="eastAsia" w:ascii="仿宋" w:hAnsi="仿宋" w:eastAsia="仿宋"/>
          <w:snapToGrid w:val="0"/>
          <w:sz w:val="32"/>
          <w:szCs w:val="32"/>
        </w:rPr>
        <w:t>（二）面上项目：优先资助与老年医学多学科建设相关的临床和基础研究，申报的项目须有开拓性或创新性，不支持重复性或跟踪性研究。</w:t>
      </w:r>
    </w:p>
    <w:p w14:paraId="41FB9BAC">
      <w:pPr>
        <w:spacing w:line="560" w:lineRule="exact"/>
        <w:ind w:firstLine="684" w:firstLineChars="200"/>
        <w:rPr>
          <w:rFonts w:ascii="仿宋" w:hAnsi="仿宋" w:eastAsia="仿宋"/>
          <w:snapToGrid w:val="0"/>
          <w:sz w:val="32"/>
          <w:szCs w:val="32"/>
        </w:rPr>
      </w:pPr>
      <w:r>
        <w:rPr>
          <w:rFonts w:hint="eastAsia" w:ascii="仿宋_GB2312" w:hAnsi="仿宋_GB2312" w:eastAsia="黑体" w:cs="仿宋_GB2312"/>
          <w:bCs/>
          <w:sz w:val="32"/>
          <w:szCs w:val="32"/>
        </w:rPr>
        <w:t>第六条</w:t>
      </w:r>
      <w:r>
        <w:rPr>
          <w:rFonts w:ascii="仿宋_GB2312" w:hAnsi="仿宋_GB2312" w:eastAsia="仿宋_GB2312" w:cs="仿宋_GB2312"/>
          <w:b/>
          <w:bCs/>
          <w:sz w:val="32"/>
          <w:szCs w:val="32"/>
        </w:rPr>
        <w:t xml:space="preserve">  </w:t>
      </w:r>
      <w:r>
        <w:rPr>
          <w:rFonts w:hint="eastAsia" w:ascii="仿宋" w:hAnsi="仿宋" w:eastAsia="仿宋"/>
          <w:snapToGrid w:val="0"/>
          <w:sz w:val="32"/>
          <w:szCs w:val="32"/>
        </w:rPr>
        <w:t>学会根据年度资金预算，组织专家研究提出资助项目安排建议，经会长办公会审定后由学术培训部在学会网站公布并负责组织实施；在学会与项目承担单位、项目负责人签订资助项目合同后，学会财务部门在十个工作日内下达资助资金。</w:t>
      </w:r>
    </w:p>
    <w:p w14:paraId="25C8E810">
      <w:pPr>
        <w:spacing w:line="560" w:lineRule="exact"/>
        <w:ind w:firstLine="864" w:firstLineChars="253"/>
        <w:rPr>
          <w:rFonts w:ascii="仿宋" w:hAnsi="仿宋" w:eastAsia="仿宋"/>
          <w:snapToGrid w:val="0"/>
          <w:sz w:val="32"/>
          <w:szCs w:val="32"/>
        </w:rPr>
      </w:pPr>
      <w:r>
        <w:rPr>
          <w:rFonts w:hint="eastAsia" w:ascii="仿宋_GB2312" w:hAnsi="仿宋_GB2312" w:eastAsia="黑体" w:cs="仿宋_GB2312"/>
          <w:bCs/>
          <w:sz w:val="32"/>
          <w:szCs w:val="32"/>
        </w:rPr>
        <w:t>第七条</w:t>
      </w:r>
      <w:r>
        <w:rPr>
          <w:rFonts w:ascii="仿宋_GB2312" w:hAnsi="仿宋_GB2312" w:eastAsia="仿宋_GB2312" w:cs="仿宋_GB2312"/>
          <w:sz w:val="32"/>
          <w:szCs w:val="32"/>
        </w:rPr>
        <w:t xml:space="preserve">  </w:t>
      </w:r>
      <w:r>
        <w:rPr>
          <w:rFonts w:hint="eastAsia" w:ascii="仿宋" w:hAnsi="仿宋" w:eastAsia="仿宋"/>
          <w:snapToGrid w:val="0"/>
          <w:sz w:val="32"/>
          <w:szCs w:val="32"/>
        </w:rPr>
        <w:t>资助资金管理。</w:t>
      </w:r>
    </w:p>
    <w:p w14:paraId="165E429A">
      <w:pPr>
        <w:spacing w:line="560" w:lineRule="exact"/>
        <w:ind w:firstLine="690" w:firstLineChars="202"/>
        <w:rPr>
          <w:rFonts w:ascii="仿宋" w:hAnsi="仿宋" w:eastAsia="仿宋"/>
          <w:snapToGrid w:val="0"/>
          <w:sz w:val="32"/>
          <w:szCs w:val="32"/>
        </w:rPr>
      </w:pPr>
      <w:r>
        <w:rPr>
          <w:rFonts w:hint="eastAsia" w:ascii="仿宋" w:hAnsi="仿宋" w:eastAsia="仿宋"/>
          <w:snapToGrid w:val="0"/>
          <w:sz w:val="32"/>
          <w:szCs w:val="32"/>
        </w:rPr>
        <w:t>（一）项目承担单位法人代表或法人代表的委托人承担项目管理和经费使用的主体责任。</w:t>
      </w:r>
    </w:p>
    <w:p w14:paraId="7A4AD852">
      <w:pPr>
        <w:spacing w:line="560" w:lineRule="exact"/>
        <w:ind w:firstLine="690" w:firstLineChars="202"/>
        <w:rPr>
          <w:rFonts w:ascii="仿宋" w:hAnsi="仿宋" w:eastAsia="仿宋"/>
          <w:snapToGrid w:val="0"/>
          <w:sz w:val="32"/>
          <w:szCs w:val="32"/>
        </w:rPr>
      </w:pPr>
      <w:r>
        <w:rPr>
          <w:rFonts w:hint="eastAsia" w:ascii="仿宋" w:hAnsi="仿宋" w:eastAsia="仿宋"/>
          <w:snapToGrid w:val="0"/>
          <w:sz w:val="32"/>
          <w:szCs w:val="32"/>
        </w:rPr>
        <w:t>（二）学会财务部门将以学会资助项目中期检查或中期评估结果作为项目分年度拨款和评价的重要依据。</w:t>
      </w:r>
      <w:r>
        <w:rPr>
          <w:rFonts w:ascii="仿宋" w:hAnsi="仿宋" w:eastAsia="仿宋"/>
          <w:snapToGrid w:val="0"/>
          <w:sz w:val="32"/>
          <w:szCs w:val="32"/>
        </w:rPr>
        <w:t xml:space="preserve"> </w:t>
      </w:r>
    </w:p>
    <w:p w14:paraId="05E5C365">
      <w:pPr>
        <w:spacing w:line="560" w:lineRule="exact"/>
        <w:ind w:firstLine="690" w:firstLineChars="202"/>
        <w:rPr>
          <w:rFonts w:ascii="仿宋" w:hAnsi="仿宋" w:eastAsia="仿宋"/>
          <w:snapToGrid w:val="0"/>
          <w:sz w:val="32"/>
          <w:szCs w:val="32"/>
        </w:rPr>
      </w:pPr>
      <w:r>
        <w:rPr>
          <w:rFonts w:hint="eastAsia" w:ascii="仿宋" w:hAnsi="仿宋" w:eastAsia="仿宋"/>
          <w:snapToGrid w:val="0"/>
          <w:sz w:val="32"/>
          <w:szCs w:val="32"/>
        </w:rPr>
        <w:t>（三）资助项目验收。资助项目承担单位在规定执行期内按照合同要求完成项目目标和任务，并对项目经费进行审计。</w:t>
      </w:r>
    </w:p>
    <w:p w14:paraId="5005B2CD">
      <w:pPr>
        <w:spacing w:line="560" w:lineRule="exact"/>
        <w:ind w:firstLine="684" w:firstLineChars="200"/>
        <w:rPr>
          <w:rFonts w:ascii="仿宋" w:hAnsi="仿宋" w:eastAsia="仿宋"/>
          <w:snapToGrid w:val="0"/>
          <w:sz w:val="32"/>
          <w:szCs w:val="32"/>
        </w:rPr>
      </w:pPr>
      <w:r>
        <w:rPr>
          <w:rFonts w:hint="eastAsia" w:ascii="仿宋" w:hAnsi="仿宋" w:eastAsia="仿宋"/>
          <w:snapToGrid w:val="0"/>
          <w:sz w:val="32"/>
          <w:szCs w:val="32"/>
        </w:rPr>
        <w:t>（四）学会评审专家委员会按资助合同对报送的总结验收表进行审查验收，并做出评议。项目完成情况将作为项目承担单位年终考核评比及今后是否给予项目资助的重要依据；凡项目验收不合格的单位，将给予通报批评，并追回部分拨款，且在</w:t>
      </w:r>
      <w:r>
        <w:rPr>
          <w:rFonts w:ascii="仿宋" w:hAnsi="仿宋" w:eastAsia="仿宋"/>
          <w:snapToGrid w:val="0"/>
          <w:sz w:val="32"/>
          <w:szCs w:val="32"/>
        </w:rPr>
        <w:t>2</w:t>
      </w:r>
      <w:r>
        <w:rPr>
          <w:rFonts w:hint="eastAsia" w:ascii="仿宋" w:hAnsi="仿宋" w:eastAsia="仿宋"/>
          <w:snapToGrid w:val="0"/>
          <w:sz w:val="32"/>
          <w:szCs w:val="32"/>
        </w:rPr>
        <w:t>年内不得申请学会科研项目资助。</w:t>
      </w:r>
    </w:p>
    <w:p w14:paraId="627C674D">
      <w:pPr>
        <w:spacing w:line="560" w:lineRule="exact"/>
        <w:ind w:firstLine="684" w:firstLineChars="200"/>
        <w:rPr>
          <w:rFonts w:ascii="仿宋" w:hAnsi="仿宋" w:eastAsia="仿宋"/>
          <w:snapToGrid w:val="0"/>
          <w:sz w:val="32"/>
          <w:szCs w:val="32"/>
        </w:rPr>
      </w:pPr>
      <w:r>
        <w:rPr>
          <w:rFonts w:hint="eastAsia" w:ascii="仿宋" w:hAnsi="仿宋" w:eastAsia="仿宋"/>
          <w:snapToGrid w:val="0"/>
          <w:sz w:val="32"/>
          <w:szCs w:val="32"/>
        </w:rPr>
        <w:t>（五）建立信用管理机制。由学术培训部对项目承担单位、项目负责人、中介机构和评审专家在项目实施管理中的信用情况进行评价和记录。</w:t>
      </w:r>
    </w:p>
    <w:p w14:paraId="6510285B">
      <w:pPr>
        <w:spacing w:line="560" w:lineRule="exact"/>
        <w:jc w:val="center"/>
        <w:rPr>
          <w:rFonts w:ascii="方正黑体_GBK" w:hAnsi="仿宋_GB2312" w:eastAsia="黑体" w:cs="仿宋_GB2312"/>
          <w:bCs/>
          <w:sz w:val="32"/>
          <w:szCs w:val="32"/>
        </w:rPr>
      </w:pPr>
      <w:r>
        <w:rPr>
          <w:rFonts w:hint="eastAsia" w:ascii="方正黑体_GBK" w:hAnsi="仿宋_GB2312" w:eastAsia="黑体" w:cs="仿宋_GB2312"/>
          <w:bCs/>
          <w:sz w:val="32"/>
          <w:szCs w:val="32"/>
        </w:rPr>
        <w:t>第三章</w:t>
      </w:r>
      <w:r>
        <w:rPr>
          <w:rFonts w:ascii="方正黑体_GBK" w:hAnsi="仿宋_GB2312" w:eastAsia="黑体" w:cs="仿宋_GB2312"/>
          <w:bCs/>
          <w:sz w:val="32"/>
          <w:szCs w:val="32"/>
        </w:rPr>
        <w:t xml:space="preserve">  </w:t>
      </w:r>
      <w:r>
        <w:rPr>
          <w:rFonts w:hint="eastAsia" w:ascii="方正黑体_GBK" w:hAnsi="仿宋_GB2312" w:eastAsia="黑体" w:cs="仿宋_GB2312"/>
          <w:bCs/>
          <w:sz w:val="32"/>
          <w:szCs w:val="32"/>
        </w:rPr>
        <w:t>资助经费使用范围</w:t>
      </w:r>
    </w:p>
    <w:p w14:paraId="67ECC511">
      <w:pPr>
        <w:spacing w:line="560" w:lineRule="exact"/>
        <w:ind w:firstLine="864" w:firstLineChars="253"/>
        <w:rPr>
          <w:rFonts w:ascii="仿宋" w:hAnsi="仿宋" w:eastAsia="仿宋"/>
          <w:snapToGrid w:val="0"/>
          <w:sz w:val="32"/>
          <w:szCs w:val="32"/>
        </w:rPr>
      </w:pPr>
      <w:r>
        <w:rPr>
          <w:rFonts w:hint="eastAsia" w:ascii="仿宋_GB2312" w:hAnsi="仿宋_GB2312" w:eastAsia="黑体" w:cs="仿宋_GB2312"/>
          <w:bCs/>
          <w:sz w:val="32"/>
          <w:szCs w:val="32"/>
        </w:rPr>
        <w:t>第八条</w:t>
      </w:r>
      <w:r>
        <w:rPr>
          <w:sz w:val="32"/>
          <w:szCs w:val="32"/>
        </w:rPr>
        <w:t xml:space="preserve">  </w:t>
      </w:r>
      <w:r>
        <w:rPr>
          <w:rFonts w:hint="eastAsia" w:ascii="仿宋" w:hAnsi="仿宋" w:eastAsia="仿宋"/>
          <w:snapToGrid w:val="0"/>
          <w:sz w:val="32"/>
          <w:szCs w:val="32"/>
        </w:rPr>
        <w:t>依据《江苏省省级科技专项资金管理暂行办法》，项目经费分为直接费用和间接费用。</w:t>
      </w:r>
    </w:p>
    <w:p w14:paraId="30322769">
      <w:pPr>
        <w:spacing w:line="560" w:lineRule="exact"/>
        <w:ind w:firstLine="864" w:firstLineChars="253"/>
        <w:rPr>
          <w:rFonts w:ascii="仿宋" w:hAnsi="仿宋" w:eastAsia="仿宋"/>
          <w:snapToGrid w:val="0"/>
          <w:sz w:val="32"/>
          <w:szCs w:val="32"/>
        </w:rPr>
      </w:pPr>
      <w:r>
        <w:rPr>
          <w:rFonts w:hint="eastAsia" w:ascii="仿宋" w:hAnsi="仿宋" w:eastAsia="仿宋"/>
          <w:snapToGrid w:val="0"/>
          <w:sz w:val="32"/>
          <w:szCs w:val="32"/>
        </w:rPr>
        <w:t>（一）直接费用是指在项目实施过程中发生的与之直接相关的费用。主要包括：</w:t>
      </w:r>
    </w:p>
    <w:p w14:paraId="4443F518">
      <w:pPr>
        <w:spacing w:line="560" w:lineRule="exact"/>
        <w:ind w:firstLine="684" w:firstLineChars="200"/>
        <w:rPr>
          <w:rFonts w:ascii="仿宋" w:hAnsi="仿宋" w:eastAsia="仿宋"/>
          <w:snapToGrid w:val="0"/>
          <w:sz w:val="32"/>
          <w:szCs w:val="32"/>
        </w:rPr>
      </w:pPr>
      <w:r>
        <w:rPr>
          <w:rFonts w:hint="eastAsia" w:ascii="仿宋" w:hAnsi="仿宋" w:eastAsia="仿宋"/>
          <w:snapToGrid w:val="0"/>
          <w:sz w:val="32"/>
          <w:szCs w:val="32"/>
        </w:rPr>
        <w:t>设备费：是指项目实施过程中购置或试制专用仪器设备，对现有仪器设备进行升级改造，以及租赁外单位仪器设备而发生的费用。应当严格控制设备购置，鼓励开放共享、自主研制、租赁专用仪器设备以及对现有仪器设备进行升级改造，避免重复购置。</w:t>
      </w:r>
    </w:p>
    <w:p w14:paraId="19CB972F">
      <w:pPr>
        <w:spacing w:line="560" w:lineRule="exact"/>
        <w:ind w:firstLine="684" w:firstLineChars="200"/>
        <w:rPr>
          <w:rFonts w:ascii="仿宋" w:hAnsi="仿宋" w:eastAsia="仿宋"/>
          <w:snapToGrid w:val="0"/>
          <w:sz w:val="32"/>
          <w:szCs w:val="32"/>
        </w:rPr>
      </w:pPr>
      <w:r>
        <w:rPr>
          <w:rFonts w:hint="eastAsia" w:ascii="仿宋" w:hAnsi="仿宋" w:eastAsia="仿宋"/>
          <w:snapToGrid w:val="0"/>
          <w:sz w:val="32"/>
          <w:szCs w:val="32"/>
        </w:rPr>
        <w:t>材料费：是指在项目实施过程中消耗的各种原材料、辅助材料等低值易耗品的采购及运输、装卸、整理等费用。</w:t>
      </w:r>
    </w:p>
    <w:p w14:paraId="63B1F7F4">
      <w:pPr>
        <w:spacing w:line="560" w:lineRule="exact"/>
        <w:ind w:firstLine="684" w:firstLineChars="200"/>
        <w:rPr>
          <w:rFonts w:ascii="仿宋" w:hAnsi="仿宋" w:eastAsia="仿宋"/>
          <w:snapToGrid w:val="0"/>
          <w:sz w:val="32"/>
          <w:szCs w:val="32"/>
        </w:rPr>
      </w:pPr>
      <w:r>
        <w:rPr>
          <w:rFonts w:hint="eastAsia" w:ascii="仿宋" w:hAnsi="仿宋" w:eastAsia="仿宋"/>
          <w:snapToGrid w:val="0"/>
          <w:sz w:val="32"/>
          <w:szCs w:val="32"/>
        </w:rPr>
        <w:t>测试化验加工费：是指在项目实施过程中支付给外单位（包括项目承担单位内部独立经济核算单位）的检验、测试、化验及加工等费用。</w:t>
      </w:r>
    </w:p>
    <w:p w14:paraId="2E8FF2CA">
      <w:pPr>
        <w:spacing w:line="560" w:lineRule="exact"/>
        <w:ind w:firstLine="684" w:firstLineChars="200"/>
        <w:rPr>
          <w:rFonts w:ascii="仿宋" w:hAnsi="仿宋" w:eastAsia="仿宋"/>
          <w:snapToGrid w:val="0"/>
          <w:sz w:val="32"/>
          <w:szCs w:val="32"/>
        </w:rPr>
      </w:pPr>
      <w:r>
        <w:rPr>
          <w:rFonts w:hint="eastAsia" w:ascii="仿宋" w:hAnsi="仿宋" w:eastAsia="仿宋"/>
          <w:snapToGrid w:val="0"/>
          <w:sz w:val="32"/>
          <w:szCs w:val="32"/>
        </w:rPr>
        <w:t>燃料动力费：是指在项目实施过程中直接使用的相关仪器设备、科学装置等运行发生的水、电、气、燃料消耗费用等。</w:t>
      </w:r>
    </w:p>
    <w:p w14:paraId="3293933F">
      <w:pPr>
        <w:spacing w:line="560" w:lineRule="exact"/>
        <w:ind w:firstLine="684" w:firstLineChars="200"/>
        <w:rPr>
          <w:rFonts w:ascii="仿宋" w:hAnsi="仿宋" w:eastAsia="仿宋"/>
          <w:snapToGrid w:val="0"/>
          <w:sz w:val="32"/>
          <w:szCs w:val="32"/>
        </w:rPr>
      </w:pPr>
      <w:r>
        <w:rPr>
          <w:rFonts w:hint="eastAsia" w:ascii="仿宋" w:hAnsi="仿宋" w:eastAsia="仿宋"/>
          <w:snapToGrid w:val="0"/>
          <w:sz w:val="32"/>
          <w:szCs w:val="32"/>
        </w:rPr>
        <w:t>出版费</w:t>
      </w:r>
      <w:r>
        <w:rPr>
          <w:rFonts w:ascii="仿宋" w:hAnsi="仿宋" w:eastAsia="仿宋"/>
          <w:snapToGrid w:val="0"/>
          <w:sz w:val="32"/>
          <w:szCs w:val="32"/>
        </w:rPr>
        <w:t>/</w:t>
      </w:r>
      <w:r>
        <w:rPr>
          <w:rFonts w:hint="eastAsia" w:ascii="仿宋" w:hAnsi="仿宋" w:eastAsia="仿宋"/>
          <w:snapToGrid w:val="0"/>
          <w:sz w:val="32"/>
          <w:szCs w:val="32"/>
        </w:rPr>
        <w:t>文献</w:t>
      </w:r>
      <w:r>
        <w:rPr>
          <w:rFonts w:ascii="仿宋" w:hAnsi="仿宋" w:eastAsia="仿宋"/>
          <w:snapToGrid w:val="0"/>
          <w:sz w:val="32"/>
          <w:szCs w:val="32"/>
        </w:rPr>
        <w:t>/</w:t>
      </w:r>
      <w:r>
        <w:rPr>
          <w:rFonts w:hint="eastAsia" w:ascii="仿宋" w:hAnsi="仿宋" w:eastAsia="仿宋"/>
          <w:snapToGrid w:val="0"/>
          <w:sz w:val="32"/>
          <w:szCs w:val="32"/>
        </w:rPr>
        <w:t>信息传播</w:t>
      </w:r>
      <w:r>
        <w:rPr>
          <w:rFonts w:ascii="仿宋" w:hAnsi="仿宋" w:eastAsia="仿宋"/>
          <w:snapToGrid w:val="0"/>
          <w:sz w:val="32"/>
          <w:szCs w:val="32"/>
        </w:rPr>
        <w:t>/</w:t>
      </w:r>
      <w:r>
        <w:rPr>
          <w:rFonts w:hint="eastAsia" w:ascii="仿宋" w:hAnsi="仿宋" w:eastAsia="仿宋"/>
          <w:snapToGrid w:val="0"/>
          <w:sz w:val="32"/>
          <w:szCs w:val="32"/>
        </w:rPr>
        <w:t>知识产权事务费：是指在项目实施过程中，需要支付的出版费、资料费、专用软件购买费、文献检索费、专业通信费、专利申请及其他知识产权事务等费用。</w:t>
      </w:r>
    </w:p>
    <w:p w14:paraId="286452CB">
      <w:pPr>
        <w:spacing w:line="560" w:lineRule="exact"/>
        <w:ind w:firstLine="684" w:firstLineChars="200"/>
        <w:rPr>
          <w:rFonts w:ascii="仿宋" w:hAnsi="仿宋" w:eastAsia="仿宋"/>
          <w:snapToGrid w:val="0"/>
          <w:sz w:val="32"/>
          <w:szCs w:val="32"/>
        </w:rPr>
      </w:pPr>
      <w:r>
        <w:rPr>
          <w:rFonts w:hint="eastAsia" w:ascii="仿宋" w:hAnsi="仿宋" w:eastAsia="仿宋"/>
          <w:snapToGrid w:val="0"/>
          <w:sz w:val="32"/>
          <w:szCs w:val="32"/>
        </w:rPr>
        <w:t>会议费</w:t>
      </w:r>
      <w:r>
        <w:rPr>
          <w:rFonts w:ascii="仿宋" w:hAnsi="仿宋" w:eastAsia="仿宋"/>
          <w:snapToGrid w:val="0"/>
          <w:sz w:val="32"/>
          <w:szCs w:val="32"/>
        </w:rPr>
        <w:t>/</w:t>
      </w:r>
      <w:r>
        <w:rPr>
          <w:rFonts w:hint="eastAsia" w:ascii="仿宋" w:hAnsi="仿宋" w:eastAsia="仿宋"/>
          <w:snapToGrid w:val="0"/>
          <w:sz w:val="32"/>
          <w:szCs w:val="32"/>
        </w:rPr>
        <w:t>差旅费</w:t>
      </w:r>
      <w:r>
        <w:rPr>
          <w:rFonts w:ascii="仿宋" w:hAnsi="仿宋" w:eastAsia="仿宋"/>
          <w:snapToGrid w:val="0"/>
          <w:sz w:val="32"/>
          <w:szCs w:val="32"/>
        </w:rPr>
        <w:t>/</w:t>
      </w:r>
      <w:r>
        <w:rPr>
          <w:rFonts w:hint="eastAsia" w:ascii="仿宋" w:hAnsi="仿宋" w:eastAsia="仿宋"/>
          <w:snapToGrid w:val="0"/>
          <w:sz w:val="32"/>
          <w:szCs w:val="32"/>
        </w:rPr>
        <w:t>国际合作交流费：是指在项目实施过程中发生的会议费、差旅费、国际合作交流费。会议的规模、数量、会期开支标准和差旅费开支标准、项目承担单位应当按照国家和省有关规定执行。国际合作与交流费应当严格执行国家和省外事经费管理的有关规定。在编制预算时，本科目支出预算不超过直接费用预算</w:t>
      </w:r>
      <w:r>
        <w:rPr>
          <w:rFonts w:ascii="仿宋" w:hAnsi="仿宋" w:eastAsia="仿宋"/>
          <w:snapToGrid w:val="0"/>
          <w:sz w:val="32"/>
          <w:szCs w:val="32"/>
        </w:rPr>
        <w:t>10%</w:t>
      </w:r>
      <w:r>
        <w:rPr>
          <w:rFonts w:hint="eastAsia" w:ascii="仿宋" w:hAnsi="仿宋" w:eastAsia="仿宋"/>
          <w:snapToGrid w:val="0"/>
          <w:sz w:val="32"/>
          <w:szCs w:val="32"/>
        </w:rPr>
        <w:t>的，不需要编制测算依据。</w:t>
      </w:r>
    </w:p>
    <w:p w14:paraId="3FADA1A7">
      <w:pPr>
        <w:spacing w:line="560" w:lineRule="exact"/>
        <w:ind w:firstLine="684" w:firstLineChars="200"/>
        <w:rPr>
          <w:rFonts w:ascii="仿宋" w:hAnsi="仿宋" w:eastAsia="仿宋"/>
          <w:snapToGrid w:val="0"/>
          <w:sz w:val="32"/>
          <w:szCs w:val="32"/>
        </w:rPr>
      </w:pPr>
      <w:r>
        <w:rPr>
          <w:rFonts w:hint="eastAsia" w:ascii="仿宋" w:hAnsi="仿宋" w:eastAsia="仿宋"/>
          <w:snapToGrid w:val="0"/>
          <w:sz w:val="32"/>
          <w:szCs w:val="32"/>
        </w:rPr>
        <w:t>劳务费：是指在项目实施过程中支付给参与项目的研究生、博士后、访问学者以及项目聘用的研究人员、科研辅助人员等的劳务性费用。项目聘用人员的劳务费开支标准，参照本省科学研究和技术服务业从业人员平均工资水平，根据其在项目研究中承担的工作任务确定，其社会保险补助纳入劳务费科目开支。劳务费预算应据实编制，不设比例限制。项目聘用研究人员应当为项目承担单位通过劳务派遣方式或者签订劳动合同、聘用协议等方式为项目聘用的研究人员（包括退休人员）。</w:t>
      </w:r>
    </w:p>
    <w:p w14:paraId="5D870257">
      <w:pPr>
        <w:spacing w:line="560" w:lineRule="exact"/>
        <w:ind w:firstLine="684" w:firstLineChars="200"/>
        <w:rPr>
          <w:rFonts w:ascii="仿宋" w:hAnsi="仿宋" w:eastAsia="仿宋"/>
          <w:snapToGrid w:val="0"/>
          <w:sz w:val="32"/>
          <w:szCs w:val="32"/>
        </w:rPr>
      </w:pPr>
      <w:r>
        <w:rPr>
          <w:rFonts w:hint="eastAsia" w:ascii="仿宋" w:hAnsi="仿宋" w:eastAsia="仿宋"/>
          <w:snapToGrid w:val="0"/>
          <w:sz w:val="32"/>
          <w:szCs w:val="32"/>
        </w:rPr>
        <w:t>专家咨询费：是指在项目实施过程中支付给临时聘请的咨询专家的费用。专家咨询费不得支付给参与项目及所属课题研究和管理的相关工作人员。</w:t>
      </w:r>
    </w:p>
    <w:p w14:paraId="65F3C6C6">
      <w:pPr>
        <w:spacing w:line="560" w:lineRule="exact"/>
        <w:ind w:firstLine="684" w:firstLineChars="200"/>
        <w:rPr>
          <w:rFonts w:ascii="仿宋" w:hAnsi="仿宋" w:eastAsia="仿宋"/>
          <w:snapToGrid w:val="0"/>
          <w:sz w:val="32"/>
          <w:szCs w:val="32"/>
        </w:rPr>
      </w:pPr>
      <w:r>
        <w:rPr>
          <w:rFonts w:hint="eastAsia" w:ascii="仿宋" w:hAnsi="仿宋" w:eastAsia="仿宋"/>
          <w:snapToGrid w:val="0"/>
          <w:sz w:val="32"/>
          <w:szCs w:val="32"/>
        </w:rPr>
        <w:t>其他支出：是指在项目实施过程中除上述支出范围之外的其他相关支出。其他支出应当在申请预算时详细说明。</w:t>
      </w:r>
      <w:r>
        <w:rPr>
          <w:rFonts w:ascii="仿宋" w:hAnsi="仿宋" w:eastAsia="仿宋"/>
          <w:snapToGrid w:val="0"/>
          <w:sz w:val="32"/>
          <w:szCs w:val="32"/>
        </w:rPr>
        <w:t xml:space="preserve">       </w:t>
      </w:r>
    </w:p>
    <w:p w14:paraId="714C6ED4">
      <w:pPr>
        <w:spacing w:line="560" w:lineRule="exact"/>
        <w:ind w:firstLine="864" w:firstLineChars="253"/>
        <w:rPr>
          <w:rFonts w:ascii="仿宋" w:hAnsi="仿宋" w:eastAsia="仿宋"/>
          <w:snapToGrid w:val="0"/>
          <w:sz w:val="32"/>
          <w:szCs w:val="32"/>
        </w:rPr>
      </w:pPr>
      <w:r>
        <w:rPr>
          <w:rFonts w:hint="eastAsia" w:ascii="仿宋" w:hAnsi="仿宋" w:eastAsia="仿宋"/>
          <w:snapToGrid w:val="0"/>
          <w:sz w:val="32"/>
          <w:szCs w:val="32"/>
        </w:rPr>
        <w:t>（二）间接费用是指承担单位在组织实施项目过程中发生的无法在直接费用中列支的相关费用。主要包括：承担单位为项目研究提供的房屋占有，日常水、电、气、暖消耗，有关管理费用的补助支出，以及激励科研人员的绩效支出等。</w:t>
      </w:r>
    </w:p>
    <w:p w14:paraId="27C7C1C1">
      <w:pPr>
        <w:spacing w:line="560" w:lineRule="exact"/>
        <w:ind w:firstLine="864" w:firstLineChars="253"/>
        <w:rPr>
          <w:rFonts w:ascii="仿宋_GB2312" w:hAnsi="仿宋_GB2312" w:eastAsia="仿宋_GB2312" w:cs="仿宋_GB2312"/>
          <w:sz w:val="32"/>
          <w:szCs w:val="32"/>
        </w:rPr>
      </w:pPr>
      <w:r>
        <w:rPr>
          <w:rFonts w:hint="eastAsia" w:ascii="仿宋_GB2312" w:hAnsi="仿宋_GB2312" w:eastAsia="黑体" w:cs="仿宋_GB2312"/>
          <w:bCs/>
          <w:sz w:val="32"/>
          <w:szCs w:val="32"/>
        </w:rPr>
        <w:t>第九条</w:t>
      </w:r>
      <w:r>
        <w:rPr>
          <w:sz w:val="32"/>
          <w:szCs w:val="32"/>
        </w:rPr>
        <w:t xml:space="preserve">   </w:t>
      </w:r>
      <w:r>
        <w:rPr>
          <w:rFonts w:hint="eastAsia" w:ascii="仿宋" w:hAnsi="仿宋" w:eastAsia="仿宋"/>
          <w:snapToGrid w:val="0"/>
          <w:sz w:val="32"/>
          <w:szCs w:val="32"/>
        </w:rPr>
        <w:t>项目总预算不变的情况下，直接费用中多数科目预算（材料费、测试化验加工费、燃料动力费、出版费</w:t>
      </w:r>
      <w:r>
        <w:rPr>
          <w:rFonts w:ascii="仿宋" w:hAnsi="仿宋" w:eastAsia="仿宋"/>
          <w:snapToGrid w:val="0"/>
          <w:sz w:val="32"/>
          <w:szCs w:val="32"/>
        </w:rPr>
        <w:t>/</w:t>
      </w:r>
      <w:r>
        <w:rPr>
          <w:rFonts w:hint="eastAsia" w:ascii="仿宋" w:hAnsi="仿宋" w:eastAsia="仿宋"/>
          <w:snapToGrid w:val="0"/>
          <w:sz w:val="32"/>
          <w:szCs w:val="32"/>
        </w:rPr>
        <w:t>文献</w:t>
      </w:r>
      <w:r>
        <w:rPr>
          <w:rFonts w:ascii="仿宋" w:hAnsi="仿宋" w:eastAsia="仿宋"/>
          <w:snapToGrid w:val="0"/>
          <w:sz w:val="32"/>
          <w:szCs w:val="32"/>
        </w:rPr>
        <w:t>/</w:t>
      </w:r>
      <w:r>
        <w:rPr>
          <w:rFonts w:hint="eastAsia" w:ascii="仿宋" w:hAnsi="仿宋" w:eastAsia="仿宋"/>
          <w:snapToGrid w:val="0"/>
          <w:sz w:val="32"/>
          <w:szCs w:val="32"/>
        </w:rPr>
        <w:t>信息传播</w:t>
      </w:r>
      <w:r>
        <w:rPr>
          <w:rFonts w:ascii="仿宋" w:hAnsi="仿宋" w:eastAsia="仿宋"/>
          <w:snapToGrid w:val="0"/>
          <w:sz w:val="32"/>
          <w:szCs w:val="32"/>
        </w:rPr>
        <w:t>/</w:t>
      </w:r>
      <w:r>
        <w:rPr>
          <w:rFonts w:hint="eastAsia" w:ascii="仿宋" w:hAnsi="仿宋" w:eastAsia="仿宋"/>
          <w:snapToGrid w:val="0"/>
          <w:sz w:val="32"/>
          <w:szCs w:val="32"/>
        </w:rPr>
        <w:t>知识产权事务费、其他费用支出预算）调剂权下放给项目承担单位。项目负责人根据实施过程中科研活动的实际需要提出申请，由项目承担单位批准。</w:t>
      </w:r>
      <w:r>
        <w:rPr>
          <w:rFonts w:ascii="仿宋" w:hAnsi="仿宋" w:eastAsia="仿宋"/>
          <w:snapToGrid w:val="0"/>
          <w:sz w:val="32"/>
          <w:szCs w:val="32"/>
        </w:rPr>
        <w:t xml:space="preserve"> </w:t>
      </w:r>
    </w:p>
    <w:p w14:paraId="631C792A">
      <w:pPr>
        <w:spacing w:line="560" w:lineRule="exact"/>
        <w:ind w:firstLine="864" w:firstLineChars="253"/>
        <w:rPr>
          <w:rFonts w:ascii="仿宋_GB2312" w:hAnsi="仿宋_GB2312" w:eastAsia="仿宋_GB2312" w:cs="仿宋_GB2312"/>
          <w:sz w:val="32"/>
          <w:szCs w:val="32"/>
        </w:rPr>
      </w:pPr>
      <w:r>
        <w:rPr>
          <w:rFonts w:hint="eastAsia" w:ascii="仿宋_GB2312" w:hAnsi="仿宋_GB2312" w:eastAsia="黑体" w:cs="仿宋_GB2312"/>
          <w:bCs/>
          <w:sz w:val="32"/>
          <w:szCs w:val="32"/>
        </w:rPr>
        <w:t>第十条</w:t>
      </w:r>
      <w:r>
        <w:rPr>
          <w:sz w:val="32"/>
          <w:szCs w:val="32"/>
        </w:rPr>
        <w:t xml:space="preserve">  </w:t>
      </w:r>
      <w:r>
        <w:rPr>
          <w:rFonts w:hint="eastAsia" w:ascii="仿宋" w:hAnsi="仿宋" w:eastAsia="仿宋"/>
          <w:snapToGrid w:val="0"/>
          <w:sz w:val="32"/>
          <w:szCs w:val="32"/>
        </w:rPr>
        <w:t>设备费、会议费</w:t>
      </w:r>
      <w:r>
        <w:rPr>
          <w:rFonts w:ascii="仿宋" w:hAnsi="仿宋" w:eastAsia="仿宋"/>
          <w:snapToGrid w:val="0"/>
          <w:sz w:val="32"/>
          <w:szCs w:val="32"/>
        </w:rPr>
        <w:t>/</w:t>
      </w:r>
      <w:r>
        <w:rPr>
          <w:rFonts w:hint="eastAsia" w:ascii="仿宋" w:hAnsi="仿宋" w:eastAsia="仿宋"/>
          <w:snapToGrid w:val="0"/>
          <w:sz w:val="32"/>
          <w:szCs w:val="32"/>
        </w:rPr>
        <w:t>差旅费</w:t>
      </w:r>
      <w:r>
        <w:rPr>
          <w:rFonts w:ascii="仿宋" w:hAnsi="仿宋" w:eastAsia="仿宋"/>
          <w:snapToGrid w:val="0"/>
          <w:sz w:val="32"/>
          <w:szCs w:val="32"/>
        </w:rPr>
        <w:t>/</w:t>
      </w:r>
      <w:r>
        <w:rPr>
          <w:rFonts w:hint="eastAsia" w:ascii="仿宋" w:hAnsi="仿宋" w:eastAsia="仿宋"/>
          <w:snapToGrid w:val="0"/>
          <w:sz w:val="32"/>
          <w:szCs w:val="32"/>
        </w:rPr>
        <w:t>国际合作交流费、劳务费、专家咨询费预算一般不予调增。如需调减，可由项目负责人根据实施过程中科研活动的实际需要提出申请，经项目承担单位批准后，调剂用于项目其他方面支出。相关调剂需报学会在中期检查、项目验收时予以确认。</w:t>
      </w:r>
      <w:r>
        <w:rPr>
          <w:rFonts w:ascii="仿宋" w:hAnsi="仿宋" w:eastAsia="仿宋"/>
          <w:snapToGrid w:val="0"/>
          <w:sz w:val="32"/>
          <w:szCs w:val="32"/>
        </w:rPr>
        <w:t xml:space="preserve">    </w:t>
      </w:r>
      <w:r>
        <w:rPr>
          <w:rFonts w:ascii="仿宋_GB2312" w:hAnsi="仿宋_GB2312" w:eastAsia="仿宋_GB2312" w:cs="仿宋_GB2312"/>
          <w:sz w:val="32"/>
          <w:szCs w:val="32"/>
        </w:rPr>
        <w:t xml:space="preserve">   </w:t>
      </w:r>
    </w:p>
    <w:p w14:paraId="6DAB5B66">
      <w:pPr>
        <w:spacing w:line="560" w:lineRule="exact"/>
        <w:ind w:firstLine="687" w:firstLineChars="201"/>
        <w:rPr>
          <w:rFonts w:ascii="仿宋" w:hAnsi="仿宋" w:eastAsia="仿宋"/>
          <w:snapToGrid w:val="0"/>
          <w:sz w:val="32"/>
          <w:szCs w:val="32"/>
        </w:rPr>
      </w:pPr>
      <w:r>
        <w:rPr>
          <w:rFonts w:hint="eastAsia" w:ascii="仿宋_GB2312" w:hAnsi="仿宋_GB2312" w:eastAsia="黑体" w:cs="仿宋_GB2312"/>
          <w:bCs/>
          <w:sz w:val="32"/>
          <w:szCs w:val="32"/>
        </w:rPr>
        <w:t>第十一条</w:t>
      </w:r>
      <w:r>
        <w:rPr>
          <w:sz w:val="32"/>
          <w:szCs w:val="32"/>
        </w:rPr>
        <w:t xml:space="preserve">  </w:t>
      </w:r>
      <w:r>
        <w:rPr>
          <w:rFonts w:hint="eastAsia" w:ascii="仿宋" w:hAnsi="仿宋" w:eastAsia="仿宋"/>
          <w:snapToGrid w:val="0"/>
          <w:sz w:val="32"/>
          <w:szCs w:val="32"/>
        </w:rPr>
        <w:t>项目结余经费管理。项目实施期间，年度剩余资金可结转下一年度使用。项目完成任务目标并通过验收后，结余资金按规定留归项目承担单位使用，在</w:t>
      </w:r>
      <w:r>
        <w:rPr>
          <w:rFonts w:ascii="仿宋" w:hAnsi="仿宋" w:eastAsia="仿宋"/>
          <w:snapToGrid w:val="0"/>
          <w:sz w:val="32"/>
          <w:szCs w:val="32"/>
        </w:rPr>
        <w:t>2</w:t>
      </w:r>
      <w:r>
        <w:rPr>
          <w:rFonts w:hint="eastAsia" w:ascii="仿宋" w:hAnsi="仿宋" w:eastAsia="仿宋"/>
          <w:snapToGrid w:val="0"/>
          <w:sz w:val="32"/>
          <w:szCs w:val="32"/>
        </w:rPr>
        <w:t>年内由项目承担单位统筹安排用于科研活动的直接支出，</w:t>
      </w:r>
      <w:r>
        <w:rPr>
          <w:rFonts w:ascii="仿宋" w:hAnsi="仿宋" w:eastAsia="仿宋"/>
          <w:snapToGrid w:val="0"/>
          <w:sz w:val="32"/>
          <w:szCs w:val="32"/>
        </w:rPr>
        <w:t>2</w:t>
      </w:r>
      <w:r>
        <w:rPr>
          <w:rFonts w:hint="eastAsia" w:ascii="仿宋" w:hAnsi="仿宋" w:eastAsia="仿宋"/>
          <w:snapToGrid w:val="0"/>
          <w:sz w:val="32"/>
          <w:szCs w:val="32"/>
        </w:rPr>
        <w:t>年后未使用完的按规定收回。</w:t>
      </w:r>
    </w:p>
    <w:p w14:paraId="0F75A88E">
      <w:pPr>
        <w:spacing w:line="560" w:lineRule="exact"/>
        <w:ind w:firstLine="684" w:firstLineChars="200"/>
        <w:rPr>
          <w:rFonts w:ascii="仿宋" w:hAnsi="仿宋" w:eastAsia="仿宋"/>
          <w:snapToGrid w:val="0"/>
          <w:sz w:val="32"/>
          <w:szCs w:val="32"/>
        </w:rPr>
      </w:pPr>
      <w:r>
        <w:rPr>
          <w:rFonts w:hint="eastAsia" w:ascii="仿宋" w:hAnsi="仿宋" w:eastAsia="仿宋"/>
          <w:snapToGrid w:val="0"/>
          <w:sz w:val="32"/>
          <w:szCs w:val="32"/>
        </w:rPr>
        <w:t>间接费用中绩效支出不超过直接费用扣除设备购置费后的</w:t>
      </w:r>
      <w:r>
        <w:rPr>
          <w:rFonts w:ascii="仿宋" w:hAnsi="仿宋" w:eastAsia="仿宋"/>
          <w:snapToGrid w:val="0"/>
          <w:sz w:val="32"/>
          <w:szCs w:val="32"/>
        </w:rPr>
        <w:t>5%</w:t>
      </w:r>
      <w:r>
        <w:rPr>
          <w:rFonts w:hint="eastAsia" w:ascii="仿宋" w:hAnsi="仿宋" w:eastAsia="仿宋"/>
          <w:snapToGrid w:val="0"/>
          <w:sz w:val="32"/>
          <w:szCs w:val="32"/>
        </w:rPr>
        <w:t>。</w:t>
      </w:r>
    </w:p>
    <w:p w14:paraId="1156916F">
      <w:pPr>
        <w:spacing w:line="560" w:lineRule="exact"/>
        <w:ind w:firstLine="684" w:firstLineChars="200"/>
        <w:rPr>
          <w:rFonts w:ascii="仿宋" w:hAnsi="仿宋" w:eastAsia="仿宋"/>
          <w:snapToGrid w:val="0"/>
          <w:sz w:val="32"/>
          <w:szCs w:val="32"/>
        </w:rPr>
      </w:pPr>
      <w:r>
        <w:rPr>
          <w:rFonts w:hint="eastAsia" w:ascii="仿宋" w:hAnsi="仿宋" w:eastAsia="仿宋"/>
          <w:snapToGrid w:val="0"/>
          <w:sz w:val="32"/>
          <w:szCs w:val="32"/>
        </w:rPr>
        <w:t>项目承担单位不得在核定的间接费用以外再以任何名义在项目经费中重复提取、列支相关费用。</w:t>
      </w:r>
    </w:p>
    <w:p w14:paraId="49726B79">
      <w:pPr>
        <w:spacing w:line="560" w:lineRule="exact"/>
        <w:ind w:firstLine="684" w:firstLineChars="200"/>
        <w:rPr>
          <w:rFonts w:ascii="仿宋" w:hAnsi="仿宋" w:eastAsia="仿宋"/>
          <w:snapToGrid w:val="0"/>
          <w:sz w:val="32"/>
          <w:szCs w:val="32"/>
        </w:rPr>
      </w:pPr>
      <w:r>
        <w:rPr>
          <w:rFonts w:hint="eastAsia" w:ascii="仿宋_GB2312" w:hAnsi="仿宋_GB2312" w:eastAsia="黑体" w:cs="仿宋_GB2312"/>
          <w:bCs/>
          <w:sz w:val="32"/>
          <w:szCs w:val="32"/>
        </w:rPr>
        <w:t>第十二条</w:t>
      </w:r>
      <w:r>
        <w:rPr>
          <w:rFonts w:ascii="仿宋_GB2312" w:hAnsi="仿宋_GB2312" w:eastAsia="仿宋_GB2312" w:cs="仿宋_GB2312"/>
          <w:b/>
          <w:bCs/>
          <w:sz w:val="32"/>
          <w:szCs w:val="32"/>
        </w:rPr>
        <w:t xml:space="preserve"> </w:t>
      </w:r>
      <w:r>
        <w:rPr>
          <w:rFonts w:hint="eastAsia" w:ascii="仿宋" w:hAnsi="仿宋" w:eastAsia="仿宋"/>
          <w:snapToGrid w:val="0"/>
          <w:sz w:val="32"/>
          <w:szCs w:val="32"/>
        </w:rPr>
        <w:t>资助项目资金使用时，承担资助项目所发生的各类费用及支出，如：会议费、差旅费、小额材料费和测试化验加工费等，要按国家和省有关规定进行结算；对设备费、大宗材料费和测试化验加工费、劳务费、专家咨询费等支出，原则上应当通过银行转账方式结算。</w:t>
      </w:r>
    </w:p>
    <w:p w14:paraId="1DBCE947">
      <w:pPr>
        <w:spacing w:line="560" w:lineRule="exact"/>
        <w:jc w:val="center"/>
        <w:rPr>
          <w:rFonts w:eastAsia="黑体"/>
          <w:sz w:val="32"/>
          <w:szCs w:val="32"/>
        </w:rPr>
      </w:pPr>
      <w:r>
        <w:rPr>
          <w:rFonts w:hint="eastAsia" w:eastAsia="黑体"/>
          <w:sz w:val="32"/>
          <w:szCs w:val="32"/>
        </w:rPr>
        <w:t>第五章</w:t>
      </w:r>
      <w:r>
        <w:rPr>
          <w:rFonts w:eastAsia="黑体"/>
          <w:sz w:val="32"/>
          <w:szCs w:val="32"/>
        </w:rPr>
        <w:t xml:space="preserve">    </w:t>
      </w:r>
      <w:r>
        <w:rPr>
          <w:rFonts w:hint="eastAsia" w:eastAsia="黑体"/>
          <w:sz w:val="32"/>
          <w:szCs w:val="32"/>
        </w:rPr>
        <w:t>绩效评价与资金监管</w:t>
      </w:r>
      <w:r>
        <w:rPr>
          <w:rFonts w:eastAsia="黑体"/>
          <w:sz w:val="32"/>
          <w:szCs w:val="32"/>
        </w:rPr>
        <w:t xml:space="preserve">         </w:t>
      </w:r>
    </w:p>
    <w:p w14:paraId="17586B91">
      <w:pPr>
        <w:spacing w:line="560" w:lineRule="exact"/>
        <w:ind w:firstLine="864" w:firstLineChars="253"/>
        <w:rPr>
          <w:sz w:val="32"/>
          <w:szCs w:val="32"/>
        </w:rPr>
      </w:pPr>
      <w:r>
        <w:rPr>
          <w:rFonts w:hint="eastAsia" w:ascii="仿宋_GB2312" w:hAnsi="仿宋_GB2312" w:eastAsia="黑体" w:cs="仿宋_GB2312"/>
          <w:bCs/>
          <w:sz w:val="32"/>
          <w:szCs w:val="32"/>
        </w:rPr>
        <w:t>第十三条</w:t>
      </w:r>
      <w:r>
        <w:rPr>
          <w:sz w:val="32"/>
          <w:szCs w:val="32"/>
        </w:rPr>
        <w:t xml:space="preserve">  </w:t>
      </w:r>
      <w:r>
        <w:rPr>
          <w:rFonts w:hint="eastAsia" w:ascii="仿宋" w:hAnsi="仿宋" w:eastAsia="仿宋"/>
          <w:snapToGrid w:val="0"/>
          <w:sz w:val="32"/>
          <w:szCs w:val="32"/>
        </w:rPr>
        <w:t>学会将建立专项资金绩效评价机制，对专项资金管理使用情况开展绩效评价，不断提高资助资金使用效益。评价的结果作为以后年度资金资助安排的依据。</w:t>
      </w:r>
      <w:r>
        <w:rPr>
          <w:sz w:val="32"/>
          <w:szCs w:val="32"/>
        </w:rPr>
        <w:t xml:space="preserve"> </w:t>
      </w:r>
    </w:p>
    <w:p w14:paraId="60D9AB85">
      <w:pPr>
        <w:spacing w:line="560" w:lineRule="exact"/>
        <w:ind w:firstLine="864" w:firstLineChars="253"/>
        <w:rPr>
          <w:sz w:val="32"/>
          <w:szCs w:val="32"/>
        </w:rPr>
      </w:pPr>
      <w:r>
        <w:rPr>
          <w:rFonts w:hint="eastAsia" w:ascii="仿宋_GB2312" w:hAnsi="仿宋_GB2312" w:eastAsia="黑体" w:cs="仿宋_GB2312"/>
          <w:bCs/>
          <w:sz w:val="32"/>
          <w:szCs w:val="32"/>
        </w:rPr>
        <w:t>第十四条</w:t>
      </w:r>
      <w:r>
        <w:rPr>
          <w:sz w:val="32"/>
          <w:szCs w:val="32"/>
        </w:rPr>
        <w:t xml:space="preserve">  </w:t>
      </w:r>
      <w:r>
        <w:rPr>
          <w:rFonts w:hint="eastAsia" w:ascii="仿宋" w:hAnsi="仿宋" w:eastAsia="仿宋"/>
          <w:snapToGrid w:val="0"/>
          <w:sz w:val="32"/>
          <w:szCs w:val="32"/>
        </w:rPr>
        <w:t>资助资金不得用于支付各种罚款、捐款、赞助、投资等项支出，不得用于人员工资性支出及各种福利性支出，不得用于国家规定禁止列入的其他支出。</w:t>
      </w:r>
      <w:r>
        <w:rPr>
          <w:rFonts w:ascii="仿宋_GB2312" w:hAnsi="仿宋_GB2312" w:eastAsia="仿宋_GB2312" w:cs="仿宋_GB2312"/>
          <w:sz w:val="32"/>
          <w:szCs w:val="32"/>
        </w:rPr>
        <w:t xml:space="preserve"> </w:t>
      </w:r>
    </w:p>
    <w:p w14:paraId="4FE83183">
      <w:pPr>
        <w:spacing w:line="560" w:lineRule="exact"/>
        <w:ind w:firstLine="864" w:firstLineChars="253"/>
        <w:rPr>
          <w:rFonts w:ascii="仿宋" w:hAnsi="仿宋" w:eastAsia="仿宋"/>
          <w:snapToGrid w:val="0"/>
          <w:sz w:val="32"/>
          <w:szCs w:val="32"/>
        </w:rPr>
      </w:pPr>
      <w:r>
        <w:rPr>
          <w:rFonts w:hint="eastAsia" w:ascii="仿宋_GB2312" w:hAnsi="仿宋_GB2312" w:eastAsia="黑体" w:cs="仿宋_GB2312"/>
          <w:bCs/>
          <w:sz w:val="32"/>
          <w:szCs w:val="32"/>
        </w:rPr>
        <w:t>第十五条</w:t>
      </w:r>
      <w:r>
        <w:rPr>
          <w:sz w:val="32"/>
          <w:szCs w:val="32"/>
        </w:rPr>
        <w:t xml:space="preserve">  </w:t>
      </w:r>
      <w:r>
        <w:rPr>
          <w:rFonts w:hint="eastAsia" w:ascii="仿宋" w:hAnsi="仿宋" w:eastAsia="仿宋"/>
          <w:snapToGrid w:val="0"/>
          <w:sz w:val="32"/>
          <w:szCs w:val="32"/>
        </w:rPr>
        <w:t>项目承担单位应主动接受学会相关部门财务审计和监督检查。应建立经费使用监督管理机制，严格执行项目预算，单独核算、专款专用。</w:t>
      </w:r>
      <w:r>
        <w:rPr>
          <w:rFonts w:ascii="仿宋" w:hAnsi="仿宋" w:eastAsia="仿宋"/>
          <w:snapToGrid w:val="0"/>
          <w:sz w:val="32"/>
          <w:szCs w:val="32"/>
        </w:rPr>
        <w:t xml:space="preserve"> </w:t>
      </w:r>
      <w:r>
        <w:rPr>
          <w:rFonts w:hint="eastAsia" w:ascii="仿宋" w:hAnsi="仿宋" w:eastAsia="仿宋"/>
          <w:snapToGrid w:val="0"/>
          <w:sz w:val="32"/>
          <w:szCs w:val="32"/>
        </w:rPr>
        <w:t>项目经费管理中存在下列行为之一的，学会将采取通报批评、停止拨款、收回专项资金等措施，并依照《财政违法行为处罚处分条例》进行处理处罚处分。</w:t>
      </w:r>
    </w:p>
    <w:p w14:paraId="428587F9">
      <w:pPr>
        <w:spacing w:line="560" w:lineRule="exact"/>
        <w:ind w:firstLine="864" w:firstLineChars="253"/>
        <w:rPr>
          <w:rFonts w:ascii="仿宋" w:hAnsi="仿宋" w:eastAsia="仿宋"/>
          <w:snapToGrid w:val="0"/>
          <w:sz w:val="32"/>
          <w:szCs w:val="32"/>
        </w:rPr>
      </w:pPr>
      <w:r>
        <w:rPr>
          <w:rFonts w:hint="eastAsia" w:ascii="仿宋" w:hAnsi="仿宋" w:eastAsia="仿宋"/>
          <w:snapToGrid w:val="0"/>
          <w:sz w:val="32"/>
          <w:szCs w:val="32"/>
        </w:rPr>
        <w:t>（一）编报虚假预算，套取资助资金的；</w:t>
      </w:r>
      <w:r>
        <w:rPr>
          <w:rFonts w:ascii="仿宋" w:hAnsi="仿宋" w:eastAsia="仿宋"/>
          <w:snapToGrid w:val="0"/>
          <w:sz w:val="32"/>
          <w:szCs w:val="32"/>
        </w:rPr>
        <w:t xml:space="preserve"> </w:t>
      </w:r>
    </w:p>
    <w:p w14:paraId="344FA2D4">
      <w:pPr>
        <w:spacing w:line="560" w:lineRule="exact"/>
        <w:ind w:firstLine="864" w:firstLineChars="253"/>
        <w:rPr>
          <w:rFonts w:ascii="仿宋" w:hAnsi="仿宋" w:eastAsia="仿宋"/>
          <w:snapToGrid w:val="0"/>
          <w:sz w:val="32"/>
          <w:szCs w:val="32"/>
        </w:rPr>
      </w:pPr>
      <w:r>
        <w:rPr>
          <w:rFonts w:hint="eastAsia" w:ascii="仿宋" w:hAnsi="仿宋" w:eastAsia="仿宋"/>
          <w:snapToGrid w:val="0"/>
          <w:sz w:val="32"/>
          <w:szCs w:val="32"/>
        </w:rPr>
        <w:t>（二）截留、挤占、挪用专项资金的；</w:t>
      </w:r>
      <w:r>
        <w:rPr>
          <w:rFonts w:ascii="仿宋" w:hAnsi="仿宋" w:eastAsia="仿宋"/>
          <w:snapToGrid w:val="0"/>
          <w:sz w:val="32"/>
          <w:szCs w:val="32"/>
        </w:rPr>
        <w:t xml:space="preserve">   </w:t>
      </w:r>
    </w:p>
    <w:p w14:paraId="6E38EB7E">
      <w:pPr>
        <w:spacing w:line="560" w:lineRule="exact"/>
        <w:ind w:firstLine="864" w:firstLineChars="253"/>
        <w:rPr>
          <w:rFonts w:ascii="仿宋" w:hAnsi="仿宋" w:eastAsia="仿宋"/>
          <w:snapToGrid w:val="0"/>
          <w:sz w:val="32"/>
          <w:szCs w:val="32"/>
        </w:rPr>
      </w:pPr>
      <w:r>
        <w:rPr>
          <w:rFonts w:hint="eastAsia" w:ascii="仿宋" w:hAnsi="仿宋" w:eastAsia="仿宋"/>
          <w:snapToGrid w:val="0"/>
          <w:sz w:val="32"/>
          <w:szCs w:val="32"/>
        </w:rPr>
        <w:t>（三）未按规定执行和调整预算的；</w:t>
      </w:r>
      <w:r>
        <w:rPr>
          <w:rFonts w:ascii="仿宋" w:hAnsi="仿宋" w:eastAsia="仿宋"/>
          <w:snapToGrid w:val="0"/>
          <w:sz w:val="32"/>
          <w:szCs w:val="32"/>
        </w:rPr>
        <w:t xml:space="preserve"> </w:t>
      </w:r>
    </w:p>
    <w:p w14:paraId="60A1C75D">
      <w:pPr>
        <w:spacing w:line="560" w:lineRule="exact"/>
        <w:ind w:firstLine="864" w:firstLineChars="253"/>
        <w:rPr>
          <w:rFonts w:ascii="仿宋" w:hAnsi="仿宋" w:eastAsia="仿宋"/>
          <w:snapToGrid w:val="0"/>
          <w:sz w:val="32"/>
          <w:szCs w:val="32"/>
        </w:rPr>
      </w:pPr>
      <w:r>
        <w:rPr>
          <w:rFonts w:hint="eastAsia" w:ascii="仿宋" w:hAnsi="仿宋" w:eastAsia="仿宋"/>
          <w:snapToGrid w:val="0"/>
          <w:sz w:val="32"/>
          <w:szCs w:val="32"/>
        </w:rPr>
        <w:t>（四）通过编造虚假合同、虚构人员名单等方式虚报冒领劳务费和专家咨询费；</w:t>
      </w:r>
    </w:p>
    <w:p w14:paraId="44EEEA9A">
      <w:pPr>
        <w:spacing w:line="560" w:lineRule="exact"/>
        <w:ind w:firstLine="864" w:firstLineChars="253"/>
        <w:rPr>
          <w:rFonts w:ascii="仿宋" w:hAnsi="仿宋" w:eastAsia="仿宋"/>
          <w:snapToGrid w:val="0"/>
          <w:sz w:val="32"/>
          <w:szCs w:val="32"/>
        </w:rPr>
      </w:pPr>
      <w:r>
        <w:rPr>
          <w:rFonts w:hint="eastAsia" w:ascii="仿宋" w:hAnsi="仿宋" w:eastAsia="仿宋"/>
          <w:snapToGrid w:val="0"/>
          <w:sz w:val="32"/>
          <w:szCs w:val="32"/>
        </w:rPr>
        <w:t>（五）通过虚构测试化验内容、提高测试化验支出标准等方式违规开支测试化验加工费；</w:t>
      </w:r>
    </w:p>
    <w:p w14:paraId="201961D8">
      <w:pPr>
        <w:spacing w:line="560" w:lineRule="exact"/>
        <w:ind w:firstLine="864" w:firstLineChars="253"/>
        <w:rPr>
          <w:rFonts w:ascii="仿宋" w:hAnsi="仿宋" w:eastAsia="仿宋"/>
          <w:snapToGrid w:val="0"/>
          <w:sz w:val="32"/>
          <w:szCs w:val="32"/>
        </w:rPr>
      </w:pPr>
      <w:r>
        <w:rPr>
          <w:rFonts w:hint="eastAsia" w:ascii="仿宋" w:hAnsi="仿宋" w:eastAsia="仿宋"/>
          <w:snapToGrid w:val="0"/>
          <w:sz w:val="32"/>
          <w:szCs w:val="32"/>
        </w:rPr>
        <w:t>（六）随意调账变动支出、随意修改记账凭证、以表代账应付财务审计和检查</w:t>
      </w:r>
    </w:p>
    <w:p w14:paraId="5ABA2A07">
      <w:pPr>
        <w:spacing w:line="560" w:lineRule="exact"/>
        <w:ind w:firstLine="864" w:firstLineChars="253"/>
        <w:rPr>
          <w:rFonts w:ascii="仿宋" w:hAnsi="仿宋" w:eastAsia="仿宋"/>
          <w:snapToGrid w:val="0"/>
          <w:sz w:val="32"/>
          <w:szCs w:val="32"/>
        </w:rPr>
      </w:pPr>
      <w:r>
        <w:rPr>
          <w:rFonts w:hint="eastAsia" w:ascii="仿宋" w:hAnsi="仿宋" w:eastAsia="仿宋"/>
          <w:snapToGrid w:val="0"/>
          <w:sz w:val="32"/>
          <w:szCs w:val="32"/>
        </w:rPr>
        <w:t>（七）因管理不善，造成公有资产损失和浪费的；</w:t>
      </w:r>
    </w:p>
    <w:p w14:paraId="53CDFB72">
      <w:pPr>
        <w:spacing w:line="560" w:lineRule="exact"/>
        <w:ind w:firstLine="864" w:firstLineChars="253"/>
        <w:rPr>
          <w:rFonts w:ascii="仿宋" w:hAnsi="仿宋" w:eastAsia="仿宋"/>
          <w:snapToGrid w:val="0"/>
          <w:sz w:val="32"/>
          <w:szCs w:val="32"/>
        </w:rPr>
      </w:pPr>
      <w:r>
        <w:rPr>
          <w:rFonts w:hint="eastAsia" w:ascii="仿宋" w:hAnsi="仿宋" w:eastAsia="仿宋"/>
          <w:snapToGrid w:val="0"/>
          <w:sz w:val="32"/>
          <w:szCs w:val="32"/>
        </w:rPr>
        <w:t>（八）其他违反国家财经纪律等的行为。</w:t>
      </w:r>
      <w:r>
        <w:rPr>
          <w:rFonts w:ascii="仿宋" w:hAnsi="仿宋" w:eastAsia="仿宋"/>
          <w:snapToGrid w:val="0"/>
          <w:sz w:val="32"/>
          <w:szCs w:val="32"/>
        </w:rPr>
        <w:t xml:space="preserve">   </w:t>
      </w:r>
    </w:p>
    <w:p w14:paraId="712A6F0D">
      <w:pPr>
        <w:spacing w:line="560" w:lineRule="exact"/>
        <w:jc w:val="center"/>
        <w:rPr>
          <w:rFonts w:eastAsia="黑体"/>
          <w:sz w:val="32"/>
          <w:szCs w:val="32"/>
        </w:rPr>
      </w:pPr>
      <w:r>
        <w:rPr>
          <w:rFonts w:hint="eastAsia" w:eastAsia="黑体"/>
          <w:sz w:val="32"/>
          <w:szCs w:val="32"/>
        </w:rPr>
        <w:t>第六章</w:t>
      </w:r>
      <w:r>
        <w:rPr>
          <w:rFonts w:eastAsia="黑体"/>
          <w:sz w:val="32"/>
          <w:szCs w:val="32"/>
        </w:rPr>
        <w:t xml:space="preserve">    </w:t>
      </w:r>
      <w:r>
        <w:rPr>
          <w:rFonts w:hint="eastAsia" w:eastAsia="黑体"/>
          <w:sz w:val="32"/>
          <w:szCs w:val="32"/>
        </w:rPr>
        <w:t>附</w:t>
      </w:r>
      <w:r>
        <w:rPr>
          <w:rFonts w:eastAsia="黑体"/>
          <w:sz w:val="32"/>
          <w:szCs w:val="32"/>
        </w:rPr>
        <w:t xml:space="preserve">    </w:t>
      </w:r>
      <w:r>
        <w:rPr>
          <w:rFonts w:hint="eastAsia" w:eastAsia="黑体"/>
          <w:sz w:val="32"/>
          <w:szCs w:val="32"/>
        </w:rPr>
        <w:t>则</w:t>
      </w:r>
      <w:r>
        <w:rPr>
          <w:rFonts w:eastAsia="黑体"/>
          <w:sz w:val="32"/>
          <w:szCs w:val="32"/>
        </w:rPr>
        <w:t xml:space="preserve"> </w:t>
      </w:r>
    </w:p>
    <w:p w14:paraId="09659055">
      <w:pPr>
        <w:spacing w:line="560" w:lineRule="exact"/>
        <w:ind w:firstLine="864" w:firstLineChars="253"/>
        <w:rPr>
          <w:rFonts w:ascii="仿宋" w:hAnsi="仿宋" w:eastAsia="仿宋"/>
          <w:snapToGrid w:val="0"/>
          <w:sz w:val="32"/>
          <w:szCs w:val="32"/>
        </w:rPr>
      </w:pPr>
      <w:r>
        <w:rPr>
          <w:rFonts w:hint="eastAsia" w:ascii="仿宋_GB2312" w:hAnsi="仿宋_GB2312" w:eastAsia="黑体" w:cs="仿宋_GB2312"/>
          <w:bCs/>
          <w:sz w:val="32"/>
          <w:szCs w:val="32"/>
        </w:rPr>
        <w:t>第十六条</w:t>
      </w:r>
      <w:r>
        <w:rPr>
          <w:sz w:val="32"/>
          <w:szCs w:val="32"/>
        </w:rPr>
        <w:t xml:space="preserve">  </w:t>
      </w:r>
      <w:r>
        <w:rPr>
          <w:rFonts w:hint="eastAsia" w:ascii="仿宋" w:hAnsi="仿宋" w:eastAsia="仿宋"/>
          <w:snapToGrid w:val="0"/>
          <w:sz w:val="32"/>
          <w:szCs w:val="32"/>
        </w:rPr>
        <w:t>本办法经常务理事会通过，由学会学术培训部负责解释。</w:t>
      </w:r>
      <w:r>
        <w:rPr>
          <w:rFonts w:ascii="仿宋" w:hAnsi="仿宋" w:eastAsia="仿宋"/>
          <w:snapToGrid w:val="0"/>
          <w:sz w:val="32"/>
          <w:szCs w:val="32"/>
        </w:rPr>
        <w:t xml:space="preserve"> </w:t>
      </w:r>
    </w:p>
    <w:p w14:paraId="7CAAB9BF">
      <w:pPr>
        <w:spacing w:line="560" w:lineRule="exact"/>
        <w:ind w:firstLine="864" w:firstLineChars="253"/>
        <w:rPr>
          <w:rFonts w:ascii="仿宋" w:hAnsi="仿宋" w:eastAsia="仿宋" w:cs="宋体"/>
          <w:sz w:val="32"/>
          <w:szCs w:val="32"/>
        </w:rPr>
      </w:pPr>
      <w:r>
        <w:rPr>
          <w:rFonts w:hint="eastAsia" w:ascii="仿宋_GB2312" w:hAnsi="仿宋_GB2312" w:eastAsia="黑体" w:cs="仿宋_GB2312"/>
          <w:bCs/>
          <w:sz w:val="32"/>
          <w:szCs w:val="32"/>
        </w:rPr>
        <w:t>第十七条</w:t>
      </w:r>
      <w:r>
        <w:rPr>
          <w:sz w:val="32"/>
          <w:szCs w:val="32"/>
        </w:rPr>
        <w:t xml:space="preserve">  </w:t>
      </w:r>
      <w:r>
        <w:rPr>
          <w:rFonts w:hint="eastAsia" w:ascii="仿宋" w:hAnsi="仿宋" w:eastAsia="仿宋"/>
          <w:snapToGrid w:val="0"/>
          <w:sz w:val="32"/>
          <w:szCs w:val="32"/>
        </w:rPr>
        <w:t>本办法自公布之日起试行。</w:t>
      </w:r>
    </w:p>
    <w:sectPr>
      <w:footerReference r:id="rId3" w:type="default"/>
      <w:footerReference r:id="rId4" w:type="even"/>
      <w:pgSz w:w="11906" w:h="16838"/>
      <w:pgMar w:top="2098" w:right="1474" w:bottom="1985" w:left="1588" w:header="851" w:footer="1418" w:gutter="0"/>
      <w:pgNumType w:fmt="numberInDash"/>
      <w:cols w:space="425" w:num="1"/>
      <w:docGrid w:type="linesAndChars" w:linePitch="579" w:charSpace="465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D5E8219-065C-40D1-B00C-C053E1491E4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仿宋_GB2312">
    <w:panose1 w:val="02010609030101010101"/>
    <w:charset w:val="86"/>
    <w:family w:val="modern"/>
    <w:pitch w:val="default"/>
    <w:sig w:usb0="00000001" w:usb1="080E0000" w:usb2="00000000" w:usb3="00000000" w:csb0="00040000" w:csb1="00000000"/>
    <w:embedRegular r:id="rId2" w:fontKey="{60019989-4663-48AA-86BE-FE1FF7F29132}"/>
  </w:font>
  <w:font w:name="仿宋">
    <w:panose1 w:val="02010609060101010101"/>
    <w:charset w:val="86"/>
    <w:family w:val="modern"/>
    <w:pitch w:val="default"/>
    <w:sig w:usb0="800002BF" w:usb1="38CF7CFA" w:usb2="00000016" w:usb3="00000000" w:csb0="00040001" w:csb1="00000000"/>
    <w:embedRegular r:id="rId3" w:fontKey="{75A01276-A17E-4129-896C-59DD35CD53F2}"/>
  </w:font>
  <w:font w:name="方正小标宋简体">
    <w:panose1 w:val="03000509000000000000"/>
    <w:charset w:val="86"/>
    <w:family w:val="script"/>
    <w:pitch w:val="default"/>
    <w:sig w:usb0="00000001" w:usb1="080E0000" w:usb2="00000000" w:usb3="00000000" w:csb0="00040000" w:csb1="00000000"/>
  </w:font>
  <w:font w:name="方正黑体_GBK">
    <w:panose1 w:val="02010600010101010101"/>
    <w:charset w:val="86"/>
    <w:family w:val="script"/>
    <w:pitch w:val="default"/>
    <w:sig w:usb0="00000001" w:usb1="080E0000" w:usb2="00000000" w:usb3="00000000" w:csb0="00040000" w:csb1="00000000"/>
    <w:embedRegular r:id="rId4" w:fontKey="{178ED42D-D9C1-470C-8820-D8DF056B105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8D2D44">
    <w:pPr>
      <w:pStyle w:val="6"/>
      <w:framePr w:wrap="around" w:vAnchor="text" w:hAnchor="margin" w:xAlign="outside" w:y="1"/>
      <w:rPr>
        <w:rStyle w:val="13"/>
        <w:sz w:val="28"/>
        <w:szCs w:val="28"/>
      </w:rPr>
    </w:pPr>
    <w:r>
      <w:rPr>
        <w:rStyle w:val="13"/>
        <w:sz w:val="28"/>
        <w:szCs w:val="28"/>
      </w:rPr>
      <w:fldChar w:fldCharType="begin"/>
    </w:r>
    <w:r>
      <w:rPr>
        <w:rStyle w:val="13"/>
        <w:sz w:val="28"/>
        <w:szCs w:val="28"/>
      </w:rPr>
      <w:instrText xml:space="preserve">PAGE  </w:instrText>
    </w:r>
    <w:r>
      <w:rPr>
        <w:rStyle w:val="13"/>
        <w:sz w:val="28"/>
        <w:szCs w:val="28"/>
      </w:rPr>
      <w:fldChar w:fldCharType="separate"/>
    </w:r>
    <w:r>
      <w:rPr>
        <w:rStyle w:val="13"/>
        <w:sz w:val="28"/>
        <w:szCs w:val="28"/>
      </w:rPr>
      <w:t>- 1 -</w:t>
    </w:r>
    <w:r>
      <w:rPr>
        <w:rStyle w:val="13"/>
        <w:sz w:val="28"/>
        <w:szCs w:val="28"/>
      </w:rPr>
      <w:fldChar w:fldCharType="end"/>
    </w:r>
  </w:p>
  <w:p w14:paraId="0A62E1C8">
    <w:pPr>
      <w:pStyle w:val="6"/>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CD7E2C">
    <w:pPr>
      <w:pStyle w:val="6"/>
      <w:framePr w:wrap="around" w:vAnchor="text" w:hAnchor="margin" w:xAlign="outside" w:y="1"/>
      <w:rPr>
        <w:rStyle w:val="13"/>
        <w:sz w:val="28"/>
        <w:szCs w:val="28"/>
      </w:rPr>
    </w:pPr>
    <w:r>
      <w:rPr>
        <w:rStyle w:val="13"/>
        <w:sz w:val="28"/>
        <w:szCs w:val="28"/>
      </w:rPr>
      <w:fldChar w:fldCharType="begin"/>
    </w:r>
    <w:r>
      <w:rPr>
        <w:rStyle w:val="13"/>
        <w:sz w:val="28"/>
        <w:szCs w:val="28"/>
      </w:rPr>
      <w:instrText xml:space="preserve">PAGE  </w:instrText>
    </w:r>
    <w:r>
      <w:rPr>
        <w:rStyle w:val="13"/>
        <w:sz w:val="28"/>
        <w:szCs w:val="28"/>
      </w:rPr>
      <w:fldChar w:fldCharType="separate"/>
    </w:r>
    <w:r>
      <w:rPr>
        <w:rStyle w:val="13"/>
        <w:sz w:val="28"/>
        <w:szCs w:val="28"/>
      </w:rPr>
      <w:t>- 2 -</w:t>
    </w:r>
    <w:r>
      <w:rPr>
        <w:rStyle w:val="13"/>
        <w:sz w:val="28"/>
        <w:szCs w:val="28"/>
      </w:rPr>
      <w:fldChar w:fldCharType="end"/>
    </w:r>
  </w:p>
  <w:p w14:paraId="46660EB7">
    <w:pPr>
      <w:pStyle w:val="6"/>
      <w:ind w:right="360" w:firstLine="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5060409"/>
    <w:multiLevelType w:val="singleLevel"/>
    <w:tmpl w:val="35060409"/>
    <w:lvl w:ilvl="0" w:tentative="0">
      <w:start w:val="1"/>
      <w:numFmt w:val="chineseCounting"/>
      <w:suff w:val="nothing"/>
      <w:lvlText w:val="（%1）"/>
      <w:lvlJc w:val="left"/>
      <w:rPr>
        <w:rFonts w:hint="eastAsia"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4"/>
  <w:embedSystem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0"/>
  <w:evenAndOddHeaders w:val="1"/>
  <w:drawingGridHorizontalSpacing w:val="233"/>
  <w:drawingGridVerticalSpacing w:val="579"/>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75C4"/>
    <w:rsid w:val="00011CEE"/>
    <w:rsid w:val="000145A3"/>
    <w:rsid w:val="00016F70"/>
    <w:rsid w:val="00017A29"/>
    <w:rsid w:val="00017F55"/>
    <w:rsid w:val="000216E5"/>
    <w:rsid w:val="00021893"/>
    <w:rsid w:val="00026279"/>
    <w:rsid w:val="00026AAD"/>
    <w:rsid w:val="0003334A"/>
    <w:rsid w:val="0003546D"/>
    <w:rsid w:val="00036EE4"/>
    <w:rsid w:val="00044BED"/>
    <w:rsid w:val="00045495"/>
    <w:rsid w:val="00045CEB"/>
    <w:rsid w:val="00047956"/>
    <w:rsid w:val="00050BD4"/>
    <w:rsid w:val="00051D4D"/>
    <w:rsid w:val="0005563B"/>
    <w:rsid w:val="00056F2F"/>
    <w:rsid w:val="00060A87"/>
    <w:rsid w:val="00060AC7"/>
    <w:rsid w:val="000610E2"/>
    <w:rsid w:val="00062D1C"/>
    <w:rsid w:val="0006420E"/>
    <w:rsid w:val="00064512"/>
    <w:rsid w:val="0006593D"/>
    <w:rsid w:val="00065F19"/>
    <w:rsid w:val="000716B0"/>
    <w:rsid w:val="00072EBE"/>
    <w:rsid w:val="000740FC"/>
    <w:rsid w:val="00074574"/>
    <w:rsid w:val="000747D9"/>
    <w:rsid w:val="00075B15"/>
    <w:rsid w:val="00075B34"/>
    <w:rsid w:val="00080CA7"/>
    <w:rsid w:val="000820B4"/>
    <w:rsid w:val="00082367"/>
    <w:rsid w:val="00082D10"/>
    <w:rsid w:val="00084229"/>
    <w:rsid w:val="00084DAD"/>
    <w:rsid w:val="00085456"/>
    <w:rsid w:val="00085A93"/>
    <w:rsid w:val="00087746"/>
    <w:rsid w:val="00092314"/>
    <w:rsid w:val="00092A6A"/>
    <w:rsid w:val="000970BA"/>
    <w:rsid w:val="000973D5"/>
    <w:rsid w:val="000A2CBE"/>
    <w:rsid w:val="000A7679"/>
    <w:rsid w:val="000B3CCE"/>
    <w:rsid w:val="000B530B"/>
    <w:rsid w:val="000B5515"/>
    <w:rsid w:val="000C038B"/>
    <w:rsid w:val="000C0524"/>
    <w:rsid w:val="000C059B"/>
    <w:rsid w:val="000C2767"/>
    <w:rsid w:val="000C2AF4"/>
    <w:rsid w:val="000C3FF2"/>
    <w:rsid w:val="000C50E5"/>
    <w:rsid w:val="000C53DB"/>
    <w:rsid w:val="000C5AC7"/>
    <w:rsid w:val="000C783D"/>
    <w:rsid w:val="000D09C1"/>
    <w:rsid w:val="000D0F0A"/>
    <w:rsid w:val="000D376E"/>
    <w:rsid w:val="000D424A"/>
    <w:rsid w:val="000D55A6"/>
    <w:rsid w:val="000E047D"/>
    <w:rsid w:val="000E232A"/>
    <w:rsid w:val="000E303E"/>
    <w:rsid w:val="000E53A4"/>
    <w:rsid w:val="000E579F"/>
    <w:rsid w:val="000E7995"/>
    <w:rsid w:val="000F0528"/>
    <w:rsid w:val="000F07F2"/>
    <w:rsid w:val="000F436F"/>
    <w:rsid w:val="000F4812"/>
    <w:rsid w:val="000F4E83"/>
    <w:rsid w:val="000F5CD7"/>
    <w:rsid w:val="00100C18"/>
    <w:rsid w:val="001013CC"/>
    <w:rsid w:val="00101BE9"/>
    <w:rsid w:val="00102B1B"/>
    <w:rsid w:val="0010345F"/>
    <w:rsid w:val="001045AA"/>
    <w:rsid w:val="00105651"/>
    <w:rsid w:val="00105C4F"/>
    <w:rsid w:val="00107F4B"/>
    <w:rsid w:val="0011081C"/>
    <w:rsid w:val="0011081E"/>
    <w:rsid w:val="00113777"/>
    <w:rsid w:val="001137D3"/>
    <w:rsid w:val="0011497E"/>
    <w:rsid w:val="001157A1"/>
    <w:rsid w:val="00115C84"/>
    <w:rsid w:val="001209AE"/>
    <w:rsid w:val="00122916"/>
    <w:rsid w:val="001272F3"/>
    <w:rsid w:val="0013249C"/>
    <w:rsid w:val="00132D5D"/>
    <w:rsid w:val="001335F1"/>
    <w:rsid w:val="00134499"/>
    <w:rsid w:val="001352FA"/>
    <w:rsid w:val="00137590"/>
    <w:rsid w:val="001403F8"/>
    <w:rsid w:val="00141329"/>
    <w:rsid w:val="00142DBE"/>
    <w:rsid w:val="00146A36"/>
    <w:rsid w:val="00147D6D"/>
    <w:rsid w:val="0015055C"/>
    <w:rsid w:val="00153BA9"/>
    <w:rsid w:val="00154CB2"/>
    <w:rsid w:val="00154F67"/>
    <w:rsid w:val="001550AF"/>
    <w:rsid w:val="00155FA8"/>
    <w:rsid w:val="00160AD4"/>
    <w:rsid w:val="00163E69"/>
    <w:rsid w:val="00164BBA"/>
    <w:rsid w:val="00164BBC"/>
    <w:rsid w:val="00167677"/>
    <w:rsid w:val="001738C7"/>
    <w:rsid w:val="0017715C"/>
    <w:rsid w:val="00180BE0"/>
    <w:rsid w:val="001831D1"/>
    <w:rsid w:val="00183B9A"/>
    <w:rsid w:val="00185050"/>
    <w:rsid w:val="00185D50"/>
    <w:rsid w:val="00186925"/>
    <w:rsid w:val="00190158"/>
    <w:rsid w:val="00190D3B"/>
    <w:rsid w:val="00195141"/>
    <w:rsid w:val="001972C0"/>
    <w:rsid w:val="00197DA7"/>
    <w:rsid w:val="001A0947"/>
    <w:rsid w:val="001A1A58"/>
    <w:rsid w:val="001A308E"/>
    <w:rsid w:val="001A39DD"/>
    <w:rsid w:val="001A731C"/>
    <w:rsid w:val="001B076B"/>
    <w:rsid w:val="001B75B0"/>
    <w:rsid w:val="001C03DC"/>
    <w:rsid w:val="001C1EFC"/>
    <w:rsid w:val="001C3618"/>
    <w:rsid w:val="001D1E0C"/>
    <w:rsid w:val="001E312D"/>
    <w:rsid w:val="001E3A05"/>
    <w:rsid w:val="001E6FDA"/>
    <w:rsid w:val="001E7683"/>
    <w:rsid w:val="001F113D"/>
    <w:rsid w:val="001F1C14"/>
    <w:rsid w:val="001F20D1"/>
    <w:rsid w:val="001F2EAB"/>
    <w:rsid w:val="002008D3"/>
    <w:rsid w:val="00203D67"/>
    <w:rsid w:val="00205F5C"/>
    <w:rsid w:val="00206256"/>
    <w:rsid w:val="002119DF"/>
    <w:rsid w:val="00214C3F"/>
    <w:rsid w:val="00215669"/>
    <w:rsid w:val="00216AEB"/>
    <w:rsid w:val="00217653"/>
    <w:rsid w:val="00221B93"/>
    <w:rsid w:val="0022708F"/>
    <w:rsid w:val="002330E8"/>
    <w:rsid w:val="00233480"/>
    <w:rsid w:val="0024078D"/>
    <w:rsid w:val="00241B44"/>
    <w:rsid w:val="00241C44"/>
    <w:rsid w:val="00241D67"/>
    <w:rsid w:val="00241DCB"/>
    <w:rsid w:val="002431B5"/>
    <w:rsid w:val="0024445A"/>
    <w:rsid w:val="00245191"/>
    <w:rsid w:val="00247D79"/>
    <w:rsid w:val="00251FC1"/>
    <w:rsid w:val="00252DF1"/>
    <w:rsid w:val="00253B55"/>
    <w:rsid w:val="00256624"/>
    <w:rsid w:val="00261365"/>
    <w:rsid w:val="00261B02"/>
    <w:rsid w:val="00261BA3"/>
    <w:rsid w:val="002629F5"/>
    <w:rsid w:val="0026492F"/>
    <w:rsid w:val="002651F1"/>
    <w:rsid w:val="002661B1"/>
    <w:rsid w:val="0026718D"/>
    <w:rsid w:val="0026767A"/>
    <w:rsid w:val="00267BC5"/>
    <w:rsid w:val="00270162"/>
    <w:rsid w:val="00271258"/>
    <w:rsid w:val="00271D9D"/>
    <w:rsid w:val="002720A0"/>
    <w:rsid w:val="002744F4"/>
    <w:rsid w:val="00274681"/>
    <w:rsid w:val="00275F5B"/>
    <w:rsid w:val="00277C34"/>
    <w:rsid w:val="00280C20"/>
    <w:rsid w:val="00282C65"/>
    <w:rsid w:val="00284691"/>
    <w:rsid w:val="00284EAD"/>
    <w:rsid w:val="002857D1"/>
    <w:rsid w:val="002858B1"/>
    <w:rsid w:val="0028598B"/>
    <w:rsid w:val="00292DE5"/>
    <w:rsid w:val="00293D55"/>
    <w:rsid w:val="002967D6"/>
    <w:rsid w:val="002A15BB"/>
    <w:rsid w:val="002A29CF"/>
    <w:rsid w:val="002A2A13"/>
    <w:rsid w:val="002A757E"/>
    <w:rsid w:val="002B05E6"/>
    <w:rsid w:val="002B198E"/>
    <w:rsid w:val="002B5C9A"/>
    <w:rsid w:val="002B6F20"/>
    <w:rsid w:val="002B71E6"/>
    <w:rsid w:val="002C0076"/>
    <w:rsid w:val="002C3280"/>
    <w:rsid w:val="002D00B3"/>
    <w:rsid w:val="002D1244"/>
    <w:rsid w:val="002D29D5"/>
    <w:rsid w:val="002D37E3"/>
    <w:rsid w:val="002D4979"/>
    <w:rsid w:val="002D4EA7"/>
    <w:rsid w:val="002D74BC"/>
    <w:rsid w:val="002E057F"/>
    <w:rsid w:val="002E2555"/>
    <w:rsid w:val="002E6890"/>
    <w:rsid w:val="002E7163"/>
    <w:rsid w:val="002F21CF"/>
    <w:rsid w:val="002F43BB"/>
    <w:rsid w:val="002F5019"/>
    <w:rsid w:val="002F5C4C"/>
    <w:rsid w:val="002F6BD1"/>
    <w:rsid w:val="002F7796"/>
    <w:rsid w:val="00301D2C"/>
    <w:rsid w:val="00303FB2"/>
    <w:rsid w:val="00304041"/>
    <w:rsid w:val="00304264"/>
    <w:rsid w:val="00306D87"/>
    <w:rsid w:val="00307D92"/>
    <w:rsid w:val="00311EC5"/>
    <w:rsid w:val="00316CB3"/>
    <w:rsid w:val="00322C3D"/>
    <w:rsid w:val="00324EBB"/>
    <w:rsid w:val="003273C8"/>
    <w:rsid w:val="00327555"/>
    <w:rsid w:val="003309A6"/>
    <w:rsid w:val="0033320D"/>
    <w:rsid w:val="00334F08"/>
    <w:rsid w:val="00337139"/>
    <w:rsid w:val="00340446"/>
    <w:rsid w:val="00342A98"/>
    <w:rsid w:val="00345299"/>
    <w:rsid w:val="00346455"/>
    <w:rsid w:val="0035489D"/>
    <w:rsid w:val="00356681"/>
    <w:rsid w:val="00356A65"/>
    <w:rsid w:val="00357766"/>
    <w:rsid w:val="003606FD"/>
    <w:rsid w:val="00360A66"/>
    <w:rsid w:val="003612E8"/>
    <w:rsid w:val="0036314B"/>
    <w:rsid w:val="003634E8"/>
    <w:rsid w:val="00363D1F"/>
    <w:rsid w:val="00364ECA"/>
    <w:rsid w:val="00365623"/>
    <w:rsid w:val="00370551"/>
    <w:rsid w:val="00372B63"/>
    <w:rsid w:val="0037356A"/>
    <w:rsid w:val="00377DEA"/>
    <w:rsid w:val="00380880"/>
    <w:rsid w:val="00385B24"/>
    <w:rsid w:val="00385E62"/>
    <w:rsid w:val="0039250E"/>
    <w:rsid w:val="00392636"/>
    <w:rsid w:val="00392EAB"/>
    <w:rsid w:val="00393931"/>
    <w:rsid w:val="0039657F"/>
    <w:rsid w:val="00396C64"/>
    <w:rsid w:val="003A20B8"/>
    <w:rsid w:val="003A28D6"/>
    <w:rsid w:val="003A331B"/>
    <w:rsid w:val="003A44DD"/>
    <w:rsid w:val="003A6404"/>
    <w:rsid w:val="003B08E4"/>
    <w:rsid w:val="003B1034"/>
    <w:rsid w:val="003B1176"/>
    <w:rsid w:val="003B2720"/>
    <w:rsid w:val="003B4E0C"/>
    <w:rsid w:val="003B6230"/>
    <w:rsid w:val="003B6A00"/>
    <w:rsid w:val="003C02F0"/>
    <w:rsid w:val="003C07DD"/>
    <w:rsid w:val="003C1BA5"/>
    <w:rsid w:val="003C6240"/>
    <w:rsid w:val="003C79A2"/>
    <w:rsid w:val="003D1AA2"/>
    <w:rsid w:val="003D31F6"/>
    <w:rsid w:val="003D36B7"/>
    <w:rsid w:val="003D3850"/>
    <w:rsid w:val="003D5AC5"/>
    <w:rsid w:val="003D5F40"/>
    <w:rsid w:val="003E0653"/>
    <w:rsid w:val="003E17A3"/>
    <w:rsid w:val="003E181D"/>
    <w:rsid w:val="003E3497"/>
    <w:rsid w:val="003E3D29"/>
    <w:rsid w:val="003E48DB"/>
    <w:rsid w:val="003E603D"/>
    <w:rsid w:val="003E60B1"/>
    <w:rsid w:val="003E637D"/>
    <w:rsid w:val="003E794D"/>
    <w:rsid w:val="003F0286"/>
    <w:rsid w:val="003F049D"/>
    <w:rsid w:val="003F32F5"/>
    <w:rsid w:val="003F3612"/>
    <w:rsid w:val="003F3CB8"/>
    <w:rsid w:val="003F40B8"/>
    <w:rsid w:val="003F549D"/>
    <w:rsid w:val="003F6062"/>
    <w:rsid w:val="003F7EE9"/>
    <w:rsid w:val="004015BE"/>
    <w:rsid w:val="004015D1"/>
    <w:rsid w:val="00402B95"/>
    <w:rsid w:val="004031FF"/>
    <w:rsid w:val="00404623"/>
    <w:rsid w:val="00405675"/>
    <w:rsid w:val="00405864"/>
    <w:rsid w:val="00410669"/>
    <w:rsid w:val="004125C6"/>
    <w:rsid w:val="004149FA"/>
    <w:rsid w:val="00416131"/>
    <w:rsid w:val="004201D9"/>
    <w:rsid w:val="0042109B"/>
    <w:rsid w:val="00422A9A"/>
    <w:rsid w:val="00424815"/>
    <w:rsid w:val="00432319"/>
    <w:rsid w:val="004332EC"/>
    <w:rsid w:val="0043372B"/>
    <w:rsid w:val="0043373F"/>
    <w:rsid w:val="00434162"/>
    <w:rsid w:val="0043433C"/>
    <w:rsid w:val="0044196C"/>
    <w:rsid w:val="00441A30"/>
    <w:rsid w:val="00443D88"/>
    <w:rsid w:val="004446B0"/>
    <w:rsid w:val="00445790"/>
    <w:rsid w:val="0044647A"/>
    <w:rsid w:val="00447EF8"/>
    <w:rsid w:val="00450B64"/>
    <w:rsid w:val="00453293"/>
    <w:rsid w:val="004532DB"/>
    <w:rsid w:val="00454C72"/>
    <w:rsid w:val="0045506C"/>
    <w:rsid w:val="0045620B"/>
    <w:rsid w:val="0046361E"/>
    <w:rsid w:val="00464B3C"/>
    <w:rsid w:val="00464B4A"/>
    <w:rsid w:val="0046769A"/>
    <w:rsid w:val="00467766"/>
    <w:rsid w:val="0047380D"/>
    <w:rsid w:val="004739E6"/>
    <w:rsid w:val="00473C3E"/>
    <w:rsid w:val="00476C43"/>
    <w:rsid w:val="0047769F"/>
    <w:rsid w:val="004808B9"/>
    <w:rsid w:val="00483ED0"/>
    <w:rsid w:val="00484291"/>
    <w:rsid w:val="004867E7"/>
    <w:rsid w:val="00486CC9"/>
    <w:rsid w:val="00487661"/>
    <w:rsid w:val="00495150"/>
    <w:rsid w:val="00496DEF"/>
    <w:rsid w:val="00497ED8"/>
    <w:rsid w:val="004A2A2C"/>
    <w:rsid w:val="004A4732"/>
    <w:rsid w:val="004A4AE8"/>
    <w:rsid w:val="004A4CBB"/>
    <w:rsid w:val="004A56B1"/>
    <w:rsid w:val="004A61F5"/>
    <w:rsid w:val="004A6883"/>
    <w:rsid w:val="004A6CED"/>
    <w:rsid w:val="004B0FC4"/>
    <w:rsid w:val="004B1DC6"/>
    <w:rsid w:val="004B7A5B"/>
    <w:rsid w:val="004C1BAA"/>
    <w:rsid w:val="004C1E75"/>
    <w:rsid w:val="004C2B19"/>
    <w:rsid w:val="004C60CB"/>
    <w:rsid w:val="004D0475"/>
    <w:rsid w:val="004D068D"/>
    <w:rsid w:val="004D0A1E"/>
    <w:rsid w:val="004D4202"/>
    <w:rsid w:val="004D435D"/>
    <w:rsid w:val="004D441C"/>
    <w:rsid w:val="004E0DF0"/>
    <w:rsid w:val="004E3D1D"/>
    <w:rsid w:val="004E704B"/>
    <w:rsid w:val="004F0462"/>
    <w:rsid w:val="004F5D99"/>
    <w:rsid w:val="004F642A"/>
    <w:rsid w:val="004F7E87"/>
    <w:rsid w:val="00502057"/>
    <w:rsid w:val="00502BE6"/>
    <w:rsid w:val="005032AB"/>
    <w:rsid w:val="005047BC"/>
    <w:rsid w:val="00511DB1"/>
    <w:rsid w:val="00512BA7"/>
    <w:rsid w:val="00513BF9"/>
    <w:rsid w:val="00513D3E"/>
    <w:rsid w:val="0051502C"/>
    <w:rsid w:val="0051563F"/>
    <w:rsid w:val="00517F1F"/>
    <w:rsid w:val="0052055B"/>
    <w:rsid w:val="0052235E"/>
    <w:rsid w:val="00525F08"/>
    <w:rsid w:val="00535982"/>
    <w:rsid w:val="00535F23"/>
    <w:rsid w:val="00536DD6"/>
    <w:rsid w:val="0054211E"/>
    <w:rsid w:val="00543F14"/>
    <w:rsid w:val="00545AB3"/>
    <w:rsid w:val="0054671B"/>
    <w:rsid w:val="00546BEF"/>
    <w:rsid w:val="00554F13"/>
    <w:rsid w:val="00563160"/>
    <w:rsid w:val="00565B22"/>
    <w:rsid w:val="00565DC3"/>
    <w:rsid w:val="0056644A"/>
    <w:rsid w:val="0056732E"/>
    <w:rsid w:val="0056770D"/>
    <w:rsid w:val="00567FD0"/>
    <w:rsid w:val="00570C25"/>
    <w:rsid w:val="0057277A"/>
    <w:rsid w:val="005764B0"/>
    <w:rsid w:val="0058056F"/>
    <w:rsid w:val="00582DCC"/>
    <w:rsid w:val="00584DDD"/>
    <w:rsid w:val="0058507A"/>
    <w:rsid w:val="00585D28"/>
    <w:rsid w:val="00585EFA"/>
    <w:rsid w:val="0058774D"/>
    <w:rsid w:val="00590315"/>
    <w:rsid w:val="005918B1"/>
    <w:rsid w:val="00592A97"/>
    <w:rsid w:val="00594BE7"/>
    <w:rsid w:val="00594DFD"/>
    <w:rsid w:val="00595100"/>
    <w:rsid w:val="005961BB"/>
    <w:rsid w:val="005968DE"/>
    <w:rsid w:val="005A3073"/>
    <w:rsid w:val="005A3AE5"/>
    <w:rsid w:val="005A405C"/>
    <w:rsid w:val="005A62C5"/>
    <w:rsid w:val="005B0E37"/>
    <w:rsid w:val="005B10D9"/>
    <w:rsid w:val="005B2446"/>
    <w:rsid w:val="005B2CE3"/>
    <w:rsid w:val="005B2CE4"/>
    <w:rsid w:val="005B420E"/>
    <w:rsid w:val="005B439C"/>
    <w:rsid w:val="005C0489"/>
    <w:rsid w:val="005C0E3F"/>
    <w:rsid w:val="005C0F3A"/>
    <w:rsid w:val="005C1482"/>
    <w:rsid w:val="005C2704"/>
    <w:rsid w:val="005C3814"/>
    <w:rsid w:val="005C565D"/>
    <w:rsid w:val="005C617E"/>
    <w:rsid w:val="005C76E8"/>
    <w:rsid w:val="005D2D74"/>
    <w:rsid w:val="005D3D72"/>
    <w:rsid w:val="005D4BA0"/>
    <w:rsid w:val="005D522D"/>
    <w:rsid w:val="005D5A87"/>
    <w:rsid w:val="005D6484"/>
    <w:rsid w:val="005E0511"/>
    <w:rsid w:val="005E1ACA"/>
    <w:rsid w:val="005E2DE1"/>
    <w:rsid w:val="005E2F97"/>
    <w:rsid w:val="005E5F4F"/>
    <w:rsid w:val="005F069F"/>
    <w:rsid w:val="005F166A"/>
    <w:rsid w:val="005F218E"/>
    <w:rsid w:val="005F253C"/>
    <w:rsid w:val="005F2BE0"/>
    <w:rsid w:val="005F3105"/>
    <w:rsid w:val="005F346E"/>
    <w:rsid w:val="005F4E47"/>
    <w:rsid w:val="005F794D"/>
    <w:rsid w:val="0060033B"/>
    <w:rsid w:val="00601D14"/>
    <w:rsid w:val="006027BB"/>
    <w:rsid w:val="00603CA3"/>
    <w:rsid w:val="00604C9D"/>
    <w:rsid w:val="00605201"/>
    <w:rsid w:val="006059DC"/>
    <w:rsid w:val="00607DEC"/>
    <w:rsid w:val="006112DF"/>
    <w:rsid w:val="0061180C"/>
    <w:rsid w:val="00612B0D"/>
    <w:rsid w:val="006156E6"/>
    <w:rsid w:val="0062049A"/>
    <w:rsid w:val="00620F4B"/>
    <w:rsid w:val="0062156C"/>
    <w:rsid w:val="00621CA5"/>
    <w:rsid w:val="00622103"/>
    <w:rsid w:val="00625162"/>
    <w:rsid w:val="00625C87"/>
    <w:rsid w:val="00626131"/>
    <w:rsid w:val="00626BBB"/>
    <w:rsid w:val="006276EF"/>
    <w:rsid w:val="00627D14"/>
    <w:rsid w:val="00630803"/>
    <w:rsid w:val="006313D4"/>
    <w:rsid w:val="00632570"/>
    <w:rsid w:val="00633826"/>
    <w:rsid w:val="00633963"/>
    <w:rsid w:val="00633D73"/>
    <w:rsid w:val="00636D4C"/>
    <w:rsid w:val="006403B0"/>
    <w:rsid w:val="00642D6A"/>
    <w:rsid w:val="0064764E"/>
    <w:rsid w:val="006517F5"/>
    <w:rsid w:val="00652180"/>
    <w:rsid w:val="006530EE"/>
    <w:rsid w:val="00656102"/>
    <w:rsid w:val="0065671D"/>
    <w:rsid w:val="00656CAF"/>
    <w:rsid w:val="00657FAA"/>
    <w:rsid w:val="00666B96"/>
    <w:rsid w:val="00671D27"/>
    <w:rsid w:val="0067254D"/>
    <w:rsid w:val="00677440"/>
    <w:rsid w:val="006774C2"/>
    <w:rsid w:val="006779C2"/>
    <w:rsid w:val="00683ADE"/>
    <w:rsid w:val="00684111"/>
    <w:rsid w:val="006902DE"/>
    <w:rsid w:val="006915A8"/>
    <w:rsid w:val="00691EA0"/>
    <w:rsid w:val="00695743"/>
    <w:rsid w:val="00697DE2"/>
    <w:rsid w:val="006A0934"/>
    <w:rsid w:val="006A1694"/>
    <w:rsid w:val="006A18B9"/>
    <w:rsid w:val="006A4C16"/>
    <w:rsid w:val="006A62F8"/>
    <w:rsid w:val="006A7696"/>
    <w:rsid w:val="006B44DE"/>
    <w:rsid w:val="006B457F"/>
    <w:rsid w:val="006B4ADF"/>
    <w:rsid w:val="006B5C51"/>
    <w:rsid w:val="006B61AC"/>
    <w:rsid w:val="006B77FE"/>
    <w:rsid w:val="006C05DC"/>
    <w:rsid w:val="006C52FB"/>
    <w:rsid w:val="006C6B01"/>
    <w:rsid w:val="006C79E9"/>
    <w:rsid w:val="006D0FD1"/>
    <w:rsid w:val="006D7199"/>
    <w:rsid w:val="006E05E7"/>
    <w:rsid w:val="006E0969"/>
    <w:rsid w:val="006E0AD6"/>
    <w:rsid w:val="006E23A0"/>
    <w:rsid w:val="006E4AD6"/>
    <w:rsid w:val="006E6DA2"/>
    <w:rsid w:val="006F05B9"/>
    <w:rsid w:val="006F1A86"/>
    <w:rsid w:val="006F1CBF"/>
    <w:rsid w:val="006F1ED0"/>
    <w:rsid w:val="006F2C31"/>
    <w:rsid w:val="006F473A"/>
    <w:rsid w:val="006F65C0"/>
    <w:rsid w:val="006F72F2"/>
    <w:rsid w:val="006F7ABC"/>
    <w:rsid w:val="007005B1"/>
    <w:rsid w:val="00702224"/>
    <w:rsid w:val="00702C37"/>
    <w:rsid w:val="0070385F"/>
    <w:rsid w:val="0070392D"/>
    <w:rsid w:val="0070416A"/>
    <w:rsid w:val="00713674"/>
    <w:rsid w:val="007145B3"/>
    <w:rsid w:val="00716AC2"/>
    <w:rsid w:val="00716E78"/>
    <w:rsid w:val="007172D8"/>
    <w:rsid w:val="00722B43"/>
    <w:rsid w:val="007230C9"/>
    <w:rsid w:val="00724952"/>
    <w:rsid w:val="00726955"/>
    <w:rsid w:val="0072747F"/>
    <w:rsid w:val="00730AEC"/>
    <w:rsid w:val="00731D28"/>
    <w:rsid w:val="00735795"/>
    <w:rsid w:val="00736049"/>
    <w:rsid w:val="007367EE"/>
    <w:rsid w:val="007436E2"/>
    <w:rsid w:val="00744F1C"/>
    <w:rsid w:val="007458AE"/>
    <w:rsid w:val="00750DC4"/>
    <w:rsid w:val="00752B41"/>
    <w:rsid w:val="00754846"/>
    <w:rsid w:val="00754B87"/>
    <w:rsid w:val="0075620B"/>
    <w:rsid w:val="007569C7"/>
    <w:rsid w:val="00761679"/>
    <w:rsid w:val="00763D04"/>
    <w:rsid w:val="007649FF"/>
    <w:rsid w:val="007656D8"/>
    <w:rsid w:val="0076631F"/>
    <w:rsid w:val="0076641A"/>
    <w:rsid w:val="007705DB"/>
    <w:rsid w:val="00772372"/>
    <w:rsid w:val="007728B0"/>
    <w:rsid w:val="00773964"/>
    <w:rsid w:val="00775EDA"/>
    <w:rsid w:val="007761FC"/>
    <w:rsid w:val="00776437"/>
    <w:rsid w:val="007766A9"/>
    <w:rsid w:val="00777551"/>
    <w:rsid w:val="00780D7D"/>
    <w:rsid w:val="0078199E"/>
    <w:rsid w:val="007826C3"/>
    <w:rsid w:val="0078271C"/>
    <w:rsid w:val="00782823"/>
    <w:rsid w:val="00784CAA"/>
    <w:rsid w:val="00786061"/>
    <w:rsid w:val="0078620C"/>
    <w:rsid w:val="00787C3B"/>
    <w:rsid w:val="00790AAA"/>
    <w:rsid w:val="00791305"/>
    <w:rsid w:val="00791DFC"/>
    <w:rsid w:val="007924C9"/>
    <w:rsid w:val="00794549"/>
    <w:rsid w:val="00794B60"/>
    <w:rsid w:val="00796845"/>
    <w:rsid w:val="007A0654"/>
    <w:rsid w:val="007A601E"/>
    <w:rsid w:val="007A6AAA"/>
    <w:rsid w:val="007A7C3C"/>
    <w:rsid w:val="007B5D25"/>
    <w:rsid w:val="007B6116"/>
    <w:rsid w:val="007B7F88"/>
    <w:rsid w:val="007C1C25"/>
    <w:rsid w:val="007C1F84"/>
    <w:rsid w:val="007D70BF"/>
    <w:rsid w:val="007E3801"/>
    <w:rsid w:val="007E3B34"/>
    <w:rsid w:val="007E6BA6"/>
    <w:rsid w:val="007F26BA"/>
    <w:rsid w:val="008006D4"/>
    <w:rsid w:val="00801896"/>
    <w:rsid w:val="00802A07"/>
    <w:rsid w:val="00802A37"/>
    <w:rsid w:val="00802DFD"/>
    <w:rsid w:val="00806F79"/>
    <w:rsid w:val="008109AA"/>
    <w:rsid w:val="00811E74"/>
    <w:rsid w:val="00812BB5"/>
    <w:rsid w:val="00814936"/>
    <w:rsid w:val="00814E43"/>
    <w:rsid w:val="00815368"/>
    <w:rsid w:val="0082184D"/>
    <w:rsid w:val="00823677"/>
    <w:rsid w:val="008266C8"/>
    <w:rsid w:val="00827E70"/>
    <w:rsid w:val="0083077F"/>
    <w:rsid w:val="008315E4"/>
    <w:rsid w:val="00833239"/>
    <w:rsid w:val="0083723D"/>
    <w:rsid w:val="00840296"/>
    <w:rsid w:val="00840999"/>
    <w:rsid w:val="00842A18"/>
    <w:rsid w:val="00842B69"/>
    <w:rsid w:val="00846061"/>
    <w:rsid w:val="008470E8"/>
    <w:rsid w:val="00850509"/>
    <w:rsid w:val="0085096C"/>
    <w:rsid w:val="00852852"/>
    <w:rsid w:val="00857123"/>
    <w:rsid w:val="0086036B"/>
    <w:rsid w:val="008620E2"/>
    <w:rsid w:val="00862A34"/>
    <w:rsid w:val="00864531"/>
    <w:rsid w:val="0086467B"/>
    <w:rsid w:val="00864B3E"/>
    <w:rsid w:val="0086781F"/>
    <w:rsid w:val="00870800"/>
    <w:rsid w:val="00870912"/>
    <w:rsid w:val="00871998"/>
    <w:rsid w:val="0088266B"/>
    <w:rsid w:val="008846C4"/>
    <w:rsid w:val="00884913"/>
    <w:rsid w:val="008907F0"/>
    <w:rsid w:val="008913F2"/>
    <w:rsid w:val="00892152"/>
    <w:rsid w:val="008A1482"/>
    <w:rsid w:val="008A1E15"/>
    <w:rsid w:val="008A235F"/>
    <w:rsid w:val="008A3A86"/>
    <w:rsid w:val="008A3E2D"/>
    <w:rsid w:val="008A499D"/>
    <w:rsid w:val="008A61FD"/>
    <w:rsid w:val="008A69D8"/>
    <w:rsid w:val="008A79A9"/>
    <w:rsid w:val="008B16E7"/>
    <w:rsid w:val="008B26C1"/>
    <w:rsid w:val="008B75C4"/>
    <w:rsid w:val="008C08A6"/>
    <w:rsid w:val="008C0AD9"/>
    <w:rsid w:val="008C11D7"/>
    <w:rsid w:val="008C2E63"/>
    <w:rsid w:val="008C4445"/>
    <w:rsid w:val="008C4501"/>
    <w:rsid w:val="008C5A5B"/>
    <w:rsid w:val="008D3CF0"/>
    <w:rsid w:val="008D41D7"/>
    <w:rsid w:val="008D4F14"/>
    <w:rsid w:val="008D78A5"/>
    <w:rsid w:val="008D7A5E"/>
    <w:rsid w:val="008E1F9D"/>
    <w:rsid w:val="008E21C0"/>
    <w:rsid w:val="008E2D41"/>
    <w:rsid w:val="008E2D53"/>
    <w:rsid w:val="008E423F"/>
    <w:rsid w:val="008E7BAA"/>
    <w:rsid w:val="008E7FCC"/>
    <w:rsid w:val="008F1DA2"/>
    <w:rsid w:val="008F3CFE"/>
    <w:rsid w:val="008F438A"/>
    <w:rsid w:val="008F658E"/>
    <w:rsid w:val="009003E3"/>
    <w:rsid w:val="00900B16"/>
    <w:rsid w:val="009022B0"/>
    <w:rsid w:val="00903F61"/>
    <w:rsid w:val="00904F48"/>
    <w:rsid w:val="00904F83"/>
    <w:rsid w:val="00907F7A"/>
    <w:rsid w:val="009103A2"/>
    <w:rsid w:val="009103E7"/>
    <w:rsid w:val="00911139"/>
    <w:rsid w:val="00911410"/>
    <w:rsid w:val="009157AE"/>
    <w:rsid w:val="009160EE"/>
    <w:rsid w:val="009210EC"/>
    <w:rsid w:val="0092165A"/>
    <w:rsid w:val="0092347A"/>
    <w:rsid w:val="00924754"/>
    <w:rsid w:val="00925F76"/>
    <w:rsid w:val="009262F9"/>
    <w:rsid w:val="0092670E"/>
    <w:rsid w:val="00927963"/>
    <w:rsid w:val="00930594"/>
    <w:rsid w:val="00932CD2"/>
    <w:rsid w:val="00932D7B"/>
    <w:rsid w:val="00934295"/>
    <w:rsid w:val="009350AC"/>
    <w:rsid w:val="009364A2"/>
    <w:rsid w:val="00936AE2"/>
    <w:rsid w:val="00940135"/>
    <w:rsid w:val="00944B13"/>
    <w:rsid w:val="00945F8B"/>
    <w:rsid w:val="00947080"/>
    <w:rsid w:val="0094787C"/>
    <w:rsid w:val="00947927"/>
    <w:rsid w:val="00954B82"/>
    <w:rsid w:val="00954FD1"/>
    <w:rsid w:val="009572EC"/>
    <w:rsid w:val="0095760E"/>
    <w:rsid w:val="00957FC4"/>
    <w:rsid w:val="00961AC7"/>
    <w:rsid w:val="009624BC"/>
    <w:rsid w:val="00963A64"/>
    <w:rsid w:val="00964A53"/>
    <w:rsid w:val="00964ADD"/>
    <w:rsid w:val="00964F9C"/>
    <w:rsid w:val="00965D6B"/>
    <w:rsid w:val="0096627E"/>
    <w:rsid w:val="00966D03"/>
    <w:rsid w:val="00966DBD"/>
    <w:rsid w:val="0096705F"/>
    <w:rsid w:val="00967FE8"/>
    <w:rsid w:val="00970746"/>
    <w:rsid w:val="009733A8"/>
    <w:rsid w:val="00974F68"/>
    <w:rsid w:val="00976137"/>
    <w:rsid w:val="00976224"/>
    <w:rsid w:val="00980321"/>
    <w:rsid w:val="00980376"/>
    <w:rsid w:val="009838BB"/>
    <w:rsid w:val="009873F4"/>
    <w:rsid w:val="00991DC4"/>
    <w:rsid w:val="0099599D"/>
    <w:rsid w:val="00996B5C"/>
    <w:rsid w:val="009A28B9"/>
    <w:rsid w:val="009A2F08"/>
    <w:rsid w:val="009A3952"/>
    <w:rsid w:val="009A3CF1"/>
    <w:rsid w:val="009A4029"/>
    <w:rsid w:val="009A4AAC"/>
    <w:rsid w:val="009A5478"/>
    <w:rsid w:val="009B14B5"/>
    <w:rsid w:val="009B1CC3"/>
    <w:rsid w:val="009B4CB0"/>
    <w:rsid w:val="009B4F53"/>
    <w:rsid w:val="009B73D1"/>
    <w:rsid w:val="009C427C"/>
    <w:rsid w:val="009C5FB3"/>
    <w:rsid w:val="009C694E"/>
    <w:rsid w:val="009D38BA"/>
    <w:rsid w:val="009D62F0"/>
    <w:rsid w:val="009D6B9D"/>
    <w:rsid w:val="009D75BC"/>
    <w:rsid w:val="009D76B3"/>
    <w:rsid w:val="009E2D30"/>
    <w:rsid w:val="009E2DEF"/>
    <w:rsid w:val="009E5350"/>
    <w:rsid w:val="009E60BF"/>
    <w:rsid w:val="009E7433"/>
    <w:rsid w:val="009F5BF8"/>
    <w:rsid w:val="009F68B6"/>
    <w:rsid w:val="009F75E0"/>
    <w:rsid w:val="00A00B1C"/>
    <w:rsid w:val="00A01DC0"/>
    <w:rsid w:val="00A04173"/>
    <w:rsid w:val="00A04F1A"/>
    <w:rsid w:val="00A056C8"/>
    <w:rsid w:val="00A0742C"/>
    <w:rsid w:val="00A10F4B"/>
    <w:rsid w:val="00A156CD"/>
    <w:rsid w:val="00A15781"/>
    <w:rsid w:val="00A15902"/>
    <w:rsid w:val="00A15DFF"/>
    <w:rsid w:val="00A20F03"/>
    <w:rsid w:val="00A21D0B"/>
    <w:rsid w:val="00A22A64"/>
    <w:rsid w:val="00A2379F"/>
    <w:rsid w:val="00A2516E"/>
    <w:rsid w:val="00A340B1"/>
    <w:rsid w:val="00A3528C"/>
    <w:rsid w:val="00A36C96"/>
    <w:rsid w:val="00A414C5"/>
    <w:rsid w:val="00A41D03"/>
    <w:rsid w:val="00A42711"/>
    <w:rsid w:val="00A433BB"/>
    <w:rsid w:val="00A44158"/>
    <w:rsid w:val="00A44728"/>
    <w:rsid w:val="00A45C18"/>
    <w:rsid w:val="00A461C1"/>
    <w:rsid w:val="00A46D62"/>
    <w:rsid w:val="00A478CB"/>
    <w:rsid w:val="00A479C8"/>
    <w:rsid w:val="00A509F0"/>
    <w:rsid w:val="00A52318"/>
    <w:rsid w:val="00A52FDB"/>
    <w:rsid w:val="00A5360B"/>
    <w:rsid w:val="00A54144"/>
    <w:rsid w:val="00A611CC"/>
    <w:rsid w:val="00A714F4"/>
    <w:rsid w:val="00A741F4"/>
    <w:rsid w:val="00A81D63"/>
    <w:rsid w:val="00A82BD9"/>
    <w:rsid w:val="00A8328C"/>
    <w:rsid w:val="00A84F6E"/>
    <w:rsid w:val="00A855AC"/>
    <w:rsid w:val="00A85C93"/>
    <w:rsid w:val="00A86BF3"/>
    <w:rsid w:val="00A9072A"/>
    <w:rsid w:val="00A91D37"/>
    <w:rsid w:val="00AA0777"/>
    <w:rsid w:val="00AA1826"/>
    <w:rsid w:val="00AA55C9"/>
    <w:rsid w:val="00AA7CD5"/>
    <w:rsid w:val="00AB2453"/>
    <w:rsid w:val="00AB2733"/>
    <w:rsid w:val="00AB2DBF"/>
    <w:rsid w:val="00AB30F0"/>
    <w:rsid w:val="00AB5980"/>
    <w:rsid w:val="00AC061F"/>
    <w:rsid w:val="00AC4C30"/>
    <w:rsid w:val="00AC5DFA"/>
    <w:rsid w:val="00AD0384"/>
    <w:rsid w:val="00AD104A"/>
    <w:rsid w:val="00AD1E74"/>
    <w:rsid w:val="00AD2CE7"/>
    <w:rsid w:val="00AD3EA0"/>
    <w:rsid w:val="00AD4192"/>
    <w:rsid w:val="00AD687E"/>
    <w:rsid w:val="00AD770D"/>
    <w:rsid w:val="00AE25C6"/>
    <w:rsid w:val="00AE28C9"/>
    <w:rsid w:val="00AE464C"/>
    <w:rsid w:val="00AE7DDF"/>
    <w:rsid w:val="00AF0ABB"/>
    <w:rsid w:val="00AF1FBB"/>
    <w:rsid w:val="00AF3964"/>
    <w:rsid w:val="00AF6880"/>
    <w:rsid w:val="00B023AB"/>
    <w:rsid w:val="00B05471"/>
    <w:rsid w:val="00B0585C"/>
    <w:rsid w:val="00B06E0C"/>
    <w:rsid w:val="00B06E20"/>
    <w:rsid w:val="00B10676"/>
    <w:rsid w:val="00B115EC"/>
    <w:rsid w:val="00B116E7"/>
    <w:rsid w:val="00B11F58"/>
    <w:rsid w:val="00B12CB2"/>
    <w:rsid w:val="00B16F39"/>
    <w:rsid w:val="00B16F50"/>
    <w:rsid w:val="00B17ED7"/>
    <w:rsid w:val="00B25C25"/>
    <w:rsid w:val="00B26A6F"/>
    <w:rsid w:val="00B27978"/>
    <w:rsid w:val="00B302B4"/>
    <w:rsid w:val="00B30717"/>
    <w:rsid w:val="00B32232"/>
    <w:rsid w:val="00B3373B"/>
    <w:rsid w:val="00B3523A"/>
    <w:rsid w:val="00B37F91"/>
    <w:rsid w:val="00B404D2"/>
    <w:rsid w:val="00B5563B"/>
    <w:rsid w:val="00B55DFE"/>
    <w:rsid w:val="00B57584"/>
    <w:rsid w:val="00B6021D"/>
    <w:rsid w:val="00B6278D"/>
    <w:rsid w:val="00B63C8F"/>
    <w:rsid w:val="00B64310"/>
    <w:rsid w:val="00B6434D"/>
    <w:rsid w:val="00B70586"/>
    <w:rsid w:val="00B70D3D"/>
    <w:rsid w:val="00B71DF8"/>
    <w:rsid w:val="00B72613"/>
    <w:rsid w:val="00B73E8A"/>
    <w:rsid w:val="00B74BD5"/>
    <w:rsid w:val="00B75FB9"/>
    <w:rsid w:val="00B76137"/>
    <w:rsid w:val="00B778EA"/>
    <w:rsid w:val="00B82CFF"/>
    <w:rsid w:val="00B85445"/>
    <w:rsid w:val="00B87E0A"/>
    <w:rsid w:val="00B90B4C"/>
    <w:rsid w:val="00B95D77"/>
    <w:rsid w:val="00BA0199"/>
    <w:rsid w:val="00BA1D78"/>
    <w:rsid w:val="00BA7D2F"/>
    <w:rsid w:val="00BB1ABE"/>
    <w:rsid w:val="00BB25F0"/>
    <w:rsid w:val="00BB38D0"/>
    <w:rsid w:val="00BB3CFF"/>
    <w:rsid w:val="00BB3F20"/>
    <w:rsid w:val="00BB4D83"/>
    <w:rsid w:val="00BB78A3"/>
    <w:rsid w:val="00BC2317"/>
    <w:rsid w:val="00BC48A4"/>
    <w:rsid w:val="00BC6A8C"/>
    <w:rsid w:val="00BD11CA"/>
    <w:rsid w:val="00BD3656"/>
    <w:rsid w:val="00BD3AB6"/>
    <w:rsid w:val="00BD3FC4"/>
    <w:rsid w:val="00BD4F97"/>
    <w:rsid w:val="00BD53CE"/>
    <w:rsid w:val="00BD717B"/>
    <w:rsid w:val="00BD78B0"/>
    <w:rsid w:val="00BD7C33"/>
    <w:rsid w:val="00BE10FC"/>
    <w:rsid w:val="00BE197D"/>
    <w:rsid w:val="00BE29CA"/>
    <w:rsid w:val="00BE3047"/>
    <w:rsid w:val="00BE3F3C"/>
    <w:rsid w:val="00BE40D0"/>
    <w:rsid w:val="00BE449D"/>
    <w:rsid w:val="00BE4562"/>
    <w:rsid w:val="00BE4AC6"/>
    <w:rsid w:val="00BF17EA"/>
    <w:rsid w:val="00BF4585"/>
    <w:rsid w:val="00BF4980"/>
    <w:rsid w:val="00BF5CEC"/>
    <w:rsid w:val="00C02732"/>
    <w:rsid w:val="00C03742"/>
    <w:rsid w:val="00C12E1B"/>
    <w:rsid w:val="00C22484"/>
    <w:rsid w:val="00C27541"/>
    <w:rsid w:val="00C31794"/>
    <w:rsid w:val="00C3365B"/>
    <w:rsid w:val="00C33EDC"/>
    <w:rsid w:val="00C35D4A"/>
    <w:rsid w:val="00C40093"/>
    <w:rsid w:val="00C40893"/>
    <w:rsid w:val="00C42E65"/>
    <w:rsid w:val="00C43C00"/>
    <w:rsid w:val="00C43FE0"/>
    <w:rsid w:val="00C44501"/>
    <w:rsid w:val="00C450FF"/>
    <w:rsid w:val="00C452F6"/>
    <w:rsid w:val="00C457A7"/>
    <w:rsid w:val="00C45FC7"/>
    <w:rsid w:val="00C46472"/>
    <w:rsid w:val="00C46FB9"/>
    <w:rsid w:val="00C47261"/>
    <w:rsid w:val="00C5091D"/>
    <w:rsid w:val="00C62EA6"/>
    <w:rsid w:val="00C63447"/>
    <w:rsid w:val="00C63A06"/>
    <w:rsid w:val="00C64974"/>
    <w:rsid w:val="00C6625B"/>
    <w:rsid w:val="00C73B67"/>
    <w:rsid w:val="00C73E01"/>
    <w:rsid w:val="00C73E3D"/>
    <w:rsid w:val="00C7461B"/>
    <w:rsid w:val="00C7508C"/>
    <w:rsid w:val="00C76018"/>
    <w:rsid w:val="00C801C9"/>
    <w:rsid w:val="00C82F12"/>
    <w:rsid w:val="00C85279"/>
    <w:rsid w:val="00C85F43"/>
    <w:rsid w:val="00C86647"/>
    <w:rsid w:val="00C8688E"/>
    <w:rsid w:val="00C878DA"/>
    <w:rsid w:val="00C90212"/>
    <w:rsid w:val="00C92173"/>
    <w:rsid w:val="00C92306"/>
    <w:rsid w:val="00C926EC"/>
    <w:rsid w:val="00C96AB2"/>
    <w:rsid w:val="00CA2418"/>
    <w:rsid w:val="00CA63FF"/>
    <w:rsid w:val="00CB1089"/>
    <w:rsid w:val="00CC135D"/>
    <w:rsid w:val="00CC1ADE"/>
    <w:rsid w:val="00CC40FC"/>
    <w:rsid w:val="00CC692C"/>
    <w:rsid w:val="00CC69BF"/>
    <w:rsid w:val="00CD2B97"/>
    <w:rsid w:val="00CD507D"/>
    <w:rsid w:val="00CD6084"/>
    <w:rsid w:val="00CE0C78"/>
    <w:rsid w:val="00CE4679"/>
    <w:rsid w:val="00CE61B4"/>
    <w:rsid w:val="00CF54DE"/>
    <w:rsid w:val="00CF6A9F"/>
    <w:rsid w:val="00D02A78"/>
    <w:rsid w:val="00D036BE"/>
    <w:rsid w:val="00D04D7C"/>
    <w:rsid w:val="00D11ED0"/>
    <w:rsid w:val="00D126F5"/>
    <w:rsid w:val="00D12DE4"/>
    <w:rsid w:val="00D1469B"/>
    <w:rsid w:val="00D15C51"/>
    <w:rsid w:val="00D2284A"/>
    <w:rsid w:val="00D2359C"/>
    <w:rsid w:val="00D252CA"/>
    <w:rsid w:val="00D25FA6"/>
    <w:rsid w:val="00D260CE"/>
    <w:rsid w:val="00D262D4"/>
    <w:rsid w:val="00D3124B"/>
    <w:rsid w:val="00D34E2E"/>
    <w:rsid w:val="00D35F1C"/>
    <w:rsid w:val="00D366CC"/>
    <w:rsid w:val="00D37A3E"/>
    <w:rsid w:val="00D408D0"/>
    <w:rsid w:val="00D422B1"/>
    <w:rsid w:val="00D4313D"/>
    <w:rsid w:val="00D457AF"/>
    <w:rsid w:val="00D4633E"/>
    <w:rsid w:val="00D55DFD"/>
    <w:rsid w:val="00D561EA"/>
    <w:rsid w:val="00D57BB8"/>
    <w:rsid w:val="00D631E6"/>
    <w:rsid w:val="00D64AFF"/>
    <w:rsid w:val="00D65F6A"/>
    <w:rsid w:val="00D66B4D"/>
    <w:rsid w:val="00D670D6"/>
    <w:rsid w:val="00D71DFE"/>
    <w:rsid w:val="00D7291B"/>
    <w:rsid w:val="00D72B09"/>
    <w:rsid w:val="00D73005"/>
    <w:rsid w:val="00D73B93"/>
    <w:rsid w:val="00D75DFD"/>
    <w:rsid w:val="00D76D3C"/>
    <w:rsid w:val="00D80A58"/>
    <w:rsid w:val="00D84C09"/>
    <w:rsid w:val="00D854B3"/>
    <w:rsid w:val="00D86EEC"/>
    <w:rsid w:val="00D872CF"/>
    <w:rsid w:val="00D90424"/>
    <w:rsid w:val="00D93AF4"/>
    <w:rsid w:val="00D94EF1"/>
    <w:rsid w:val="00D97F60"/>
    <w:rsid w:val="00DA3451"/>
    <w:rsid w:val="00DA5662"/>
    <w:rsid w:val="00DB3424"/>
    <w:rsid w:val="00DB37EB"/>
    <w:rsid w:val="00DB38C0"/>
    <w:rsid w:val="00DB3EFD"/>
    <w:rsid w:val="00DB5D8C"/>
    <w:rsid w:val="00DB78BA"/>
    <w:rsid w:val="00DC41B4"/>
    <w:rsid w:val="00DC4DFB"/>
    <w:rsid w:val="00DC5646"/>
    <w:rsid w:val="00DD1506"/>
    <w:rsid w:val="00DD1CE1"/>
    <w:rsid w:val="00DD23F3"/>
    <w:rsid w:val="00DD7744"/>
    <w:rsid w:val="00DE09BF"/>
    <w:rsid w:val="00DE1608"/>
    <w:rsid w:val="00DF0306"/>
    <w:rsid w:val="00DF1444"/>
    <w:rsid w:val="00DF2161"/>
    <w:rsid w:val="00DF313D"/>
    <w:rsid w:val="00DF3DE8"/>
    <w:rsid w:val="00DF4473"/>
    <w:rsid w:val="00DF4961"/>
    <w:rsid w:val="00E02ABC"/>
    <w:rsid w:val="00E0312C"/>
    <w:rsid w:val="00E05B1D"/>
    <w:rsid w:val="00E0657B"/>
    <w:rsid w:val="00E10B5F"/>
    <w:rsid w:val="00E14831"/>
    <w:rsid w:val="00E166AE"/>
    <w:rsid w:val="00E21374"/>
    <w:rsid w:val="00E24149"/>
    <w:rsid w:val="00E248B3"/>
    <w:rsid w:val="00E255CD"/>
    <w:rsid w:val="00E25799"/>
    <w:rsid w:val="00E30F67"/>
    <w:rsid w:val="00E32975"/>
    <w:rsid w:val="00E338F8"/>
    <w:rsid w:val="00E35972"/>
    <w:rsid w:val="00E36781"/>
    <w:rsid w:val="00E43068"/>
    <w:rsid w:val="00E43643"/>
    <w:rsid w:val="00E462CE"/>
    <w:rsid w:val="00E5058E"/>
    <w:rsid w:val="00E51B5E"/>
    <w:rsid w:val="00E530EF"/>
    <w:rsid w:val="00E558DB"/>
    <w:rsid w:val="00E60168"/>
    <w:rsid w:val="00E61AD4"/>
    <w:rsid w:val="00E62B32"/>
    <w:rsid w:val="00E66573"/>
    <w:rsid w:val="00E66A5F"/>
    <w:rsid w:val="00E66AFE"/>
    <w:rsid w:val="00E71772"/>
    <w:rsid w:val="00E71850"/>
    <w:rsid w:val="00E72BCA"/>
    <w:rsid w:val="00E73642"/>
    <w:rsid w:val="00E73864"/>
    <w:rsid w:val="00E758ED"/>
    <w:rsid w:val="00E765E9"/>
    <w:rsid w:val="00E80968"/>
    <w:rsid w:val="00E80A08"/>
    <w:rsid w:val="00E82842"/>
    <w:rsid w:val="00E8286A"/>
    <w:rsid w:val="00E84746"/>
    <w:rsid w:val="00E901D6"/>
    <w:rsid w:val="00E90420"/>
    <w:rsid w:val="00E93D04"/>
    <w:rsid w:val="00E962A9"/>
    <w:rsid w:val="00EA0579"/>
    <w:rsid w:val="00EA3F20"/>
    <w:rsid w:val="00EA4807"/>
    <w:rsid w:val="00EA4C1B"/>
    <w:rsid w:val="00EA4CEB"/>
    <w:rsid w:val="00EA6344"/>
    <w:rsid w:val="00EA7B39"/>
    <w:rsid w:val="00EB1ACB"/>
    <w:rsid w:val="00EB2BC7"/>
    <w:rsid w:val="00EB30D5"/>
    <w:rsid w:val="00EB3B23"/>
    <w:rsid w:val="00EB7ADF"/>
    <w:rsid w:val="00EC35B4"/>
    <w:rsid w:val="00EC3AC5"/>
    <w:rsid w:val="00EC5698"/>
    <w:rsid w:val="00ED0681"/>
    <w:rsid w:val="00ED21C8"/>
    <w:rsid w:val="00EE1C1E"/>
    <w:rsid w:val="00EE2A52"/>
    <w:rsid w:val="00EE2CC2"/>
    <w:rsid w:val="00EE4A9D"/>
    <w:rsid w:val="00EE6DD0"/>
    <w:rsid w:val="00EF0319"/>
    <w:rsid w:val="00EF1AEF"/>
    <w:rsid w:val="00EF4B4D"/>
    <w:rsid w:val="00EF5063"/>
    <w:rsid w:val="00EF56F6"/>
    <w:rsid w:val="00F017E5"/>
    <w:rsid w:val="00F064AC"/>
    <w:rsid w:val="00F072E8"/>
    <w:rsid w:val="00F07EC0"/>
    <w:rsid w:val="00F11646"/>
    <w:rsid w:val="00F1184C"/>
    <w:rsid w:val="00F121D6"/>
    <w:rsid w:val="00F12BE1"/>
    <w:rsid w:val="00F15116"/>
    <w:rsid w:val="00F20031"/>
    <w:rsid w:val="00F209CA"/>
    <w:rsid w:val="00F22A56"/>
    <w:rsid w:val="00F22F36"/>
    <w:rsid w:val="00F23744"/>
    <w:rsid w:val="00F23EFA"/>
    <w:rsid w:val="00F25D80"/>
    <w:rsid w:val="00F30BFE"/>
    <w:rsid w:val="00F312E3"/>
    <w:rsid w:val="00F31BA0"/>
    <w:rsid w:val="00F31BC0"/>
    <w:rsid w:val="00F31EF3"/>
    <w:rsid w:val="00F3234B"/>
    <w:rsid w:val="00F332CD"/>
    <w:rsid w:val="00F337BB"/>
    <w:rsid w:val="00F35287"/>
    <w:rsid w:val="00F40211"/>
    <w:rsid w:val="00F418D8"/>
    <w:rsid w:val="00F4560E"/>
    <w:rsid w:val="00F45C91"/>
    <w:rsid w:val="00F50B5D"/>
    <w:rsid w:val="00F51470"/>
    <w:rsid w:val="00F51A4A"/>
    <w:rsid w:val="00F52899"/>
    <w:rsid w:val="00F52ED3"/>
    <w:rsid w:val="00F53050"/>
    <w:rsid w:val="00F53959"/>
    <w:rsid w:val="00F54587"/>
    <w:rsid w:val="00F6122B"/>
    <w:rsid w:val="00F6188F"/>
    <w:rsid w:val="00F619A0"/>
    <w:rsid w:val="00F61EC6"/>
    <w:rsid w:val="00F6238C"/>
    <w:rsid w:val="00F649F6"/>
    <w:rsid w:val="00F64AAB"/>
    <w:rsid w:val="00F657E2"/>
    <w:rsid w:val="00F65D99"/>
    <w:rsid w:val="00F66433"/>
    <w:rsid w:val="00F70276"/>
    <w:rsid w:val="00F70B79"/>
    <w:rsid w:val="00F71EF9"/>
    <w:rsid w:val="00F8122F"/>
    <w:rsid w:val="00F83282"/>
    <w:rsid w:val="00F847B9"/>
    <w:rsid w:val="00F90BBA"/>
    <w:rsid w:val="00F92139"/>
    <w:rsid w:val="00F9252B"/>
    <w:rsid w:val="00F957BC"/>
    <w:rsid w:val="00FA3B17"/>
    <w:rsid w:val="00FA48BF"/>
    <w:rsid w:val="00FB0051"/>
    <w:rsid w:val="00FB1674"/>
    <w:rsid w:val="00FB1CCE"/>
    <w:rsid w:val="00FB2EA7"/>
    <w:rsid w:val="00FB3905"/>
    <w:rsid w:val="00FB4E08"/>
    <w:rsid w:val="00FC0616"/>
    <w:rsid w:val="00FC09F0"/>
    <w:rsid w:val="00FC0A18"/>
    <w:rsid w:val="00FC1827"/>
    <w:rsid w:val="00FC2DA0"/>
    <w:rsid w:val="00FC3CBB"/>
    <w:rsid w:val="00FD3685"/>
    <w:rsid w:val="00FD72E1"/>
    <w:rsid w:val="00FD7C72"/>
    <w:rsid w:val="00FE0290"/>
    <w:rsid w:val="00FE03FF"/>
    <w:rsid w:val="00FE1540"/>
    <w:rsid w:val="00FE4660"/>
    <w:rsid w:val="00FE526B"/>
    <w:rsid w:val="00FE62FC"/>
    <w:rsid w:val="00FE6E94"/>
    <w:rsid w:val="00FE7135"/>
    <w:rsid w:val="00FE741B"/>
    <w:rsid w:val="00FF0445"/>
    <w:rsid w:val="00FF21CD"/>
    <w:rsid w:val="00FF2487"/>
    <w:rsid w:val="00FF2A19"/>
    <w:rsid w:val="00FF2CF3"/>
    <w:rsid w:val="00FF4372"/>
    <w:rsid w:val="1468525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22" w:semiHidden="0" w:name="Strong"/>
    <w:lsdException w:qFormat="1" w:unhideWhenUsed="0" w:uiPriority="20" w:semiHidden="0" w:name="Emphasis"/>
    <w:lsdException w:qFormat="1" w:unhideWhenUsed="0" w:uiPriority="0" w:name="Document Map"/>
    <w:lsdException w:uiPriority="0" w:name="Plain Text"/>
    <w:lsdException w:uiPriority="0" w:name="E-mail Signature"/>
    <w:lsdException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8"/>
    <w:qFormat/>
    <w:uiPriority w:val="0"/>
    <w:pPr>
      <w:keepNext/>
      <w:keepLines/>
      <w:spacing w:before="340" w:after="330" w:line="578" w:lineRule="auto"/>
      <w:outlineLvl w:val="0"/>
    </w:pPr>
    <w:rPr>
      <w:b/>
      <w:bCs/>
      <w:kern w:val="44"/>
      <w:sz w:val="44"/>
      <w:szCs w:val="44"/>
    </w:rPr>
  </w:style>
  <w:style w:type="character" w:default="1" w:styleId="11">
    <w:name w:val="Default Paragraph Font"/>
    <w:semiHidden/>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Document Map"/>
    <w:basedOn w:val="1"/>
    <w:semiHidden/>
    <w:qFormat/>
    <w:uiPriority w:val="0"/>
    <w:pPr>
      <w:shd w:val="clear" w:color="auto" w:fill="000080"/>
    </w:pPr>
  </w:style>
  <w:style w:type="paragraph" w:styleId="4">
    <w:name w:val="Date"/>
    <w:basedOn w:val="1"/>
    <w:next w:val="1"/>
    <w:uiPriority w:val="0"/>
    <w:pPr>
      <w:ind w:left="100" w:leftChars="2500"/>
    </w:pPr>
  </w:style>
  <w:style w:type="paragraph" w:styleId="5">
    <w:name w:val="Balloon Text"/>
    <w:basedOn w:val="1"/>
    <w:semiHidden/>
    <w:qFormat/>
    <w:uiPriority w:val="0"/>
    <w:rPr>
      <w:sz w:val="18"/>
      <w:szCs w:val="18"/>
    </w:rPr>
  </w:style>
  <w:style w:type="paragraph" w:styleId="6">
    <w:name w:val="footer"/>
    <w:basedOn w:val="1"/>
    <w:uiPriority w:val="0"/>
    <w:pPr>
      <w:tabs>
        <w:tab w:val="center" w:pos="4153"/>
        <w:tab w:val="right" w:pos="8306"/>
      </w:tabs>
      <w:snapToGrid w:val="0"/>
      <w:jc w:val="left"/>
    </w:pPr>
    <w:rPr>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uiPriority w:val="99"/>
    <w:pPr>
      <w:widowControl/>
      <w:spacing w:before="100" w:beforeAutospacing="1" w:after="100" w:afterAutospacing="1"/>
      <w:jc w:val="left"/>
    </w:pPr>
    <w:rPr>
      <w:rFonts w:ascii="宋体" w:hAnsi="宋体" w:cs="宋体"/>
      <w:kern w:val="0"/>
      <w:sz w:val="24"/>
    </w:rPr>
  </w:style>
  <w:style w:type="table" w:styleId="10">
    <w:name w:val="Table Grid"/>
    <w:basedOn w:val="9"/>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2">
    <w:name w:val="Strong"/>
    <w:basedOn w:val="11"/>
    <w:qFormat/>
    <w:uiPriority w:val="22"/>
    <w:rPr>
      <w:b/>
      <w:bCs/>
    </w:rPr>
  </w:style>
  <w:style w:type="character" w:styleId="13">
    <w:name w:val="page number"/>
    <w:basedOn w:val="11"/>
    <w:qFormat/>
    <w:uiPriority w:val="0"/>
  </w:style>
  <w:style w:type="character" w:styleId="14">
    <w:name w:val="Emphasis"/>
    <w:basedOn w:val="11"/>
    <w:qFormat/>
    <w:uiPriority w:val="20"/>
    <w:rPr>
      <w:i/>
      <w:iCs/>
    </w:rPr>
  </w:style>
  <w:style w:type="paragraph" w:customStyle="1" w:styleId="15">
    <w:name w:val="默认段落字体 Para Char Char Char Char Char Char Char Char Char Char Char Char Char Char Char1 Char Char Char Char"/>
    <w:basedOn w:val="3"/>
    <w:autoRedefine/>
    <w:qFormat/>
    <w:uiPriority w:val="0"/>
    <w:pPr>
      <w:adjustRightInd w:val="0"/>
      <w:spacing w:line="436" w:lineRule="exact"/>
      <w:ind w:left="357"/>
      <w:jc w:val="left"/>
      <w:outlineLvl w:val="3"/>
    </w:pPr>
    <w:rPr>
      <w:rFonts w:ascii="Tahoma" w:hAnsi="Tahoma" w:eastAsia="仿宋_GB2312"/>
      <w:b/>
      <w:sz w:val="24"/>
    </w:rPr>
  </w:style>
  <w:style w:type="paragraph" w:customStyle="1" w:styleId="16">
    <w:name w:val="Char"/>
    <w:basedOn w:val="3"/>
    <w:autoRedefine/>
    <w:qFormat/>
    <w:uiPriority w:val="0"/>
    <w:pPr>
      <w:adjustRightInd w:val="0"/>
      <w:spacing w:line="436" w:lineRule="exact"/>
      <w:ind w:left="357"/>
      <w:jc w:val="left"/>
      <w:outlineLvl w:val="3"/>
    </w:pPr>
    <w:rPr>
      <w:rFonts w:ascii="Tahoma" w:hAnsi="Tahoma" w:eastAsia="仿宋_GB2312"/>
      <w:b/>
      <w:sz w:val="24"/>
    </w:rPr>
  </w:style>
  <w:style w:type="paragraph" w:customStyle="1" w:styleId="17">
    <w:name w:val="Char Char1"/>
    <w:basedOn w:val="3"/>
    <w:autoRedefine/>
    <w:uiPriority w:val="0"/>
    <w:pPr>
      <w:adjustRightInd w:val="0"/>
      <w:spacing w:line="436" w:lineRule="exact"/>
      <w:ind w:left="357"/>
      <w:jc w:val="left"/>
      <w:outlineLvl w:val="3"/>
    </w:pPr>
    <w:rPr>
      <w:rFonts w:ascii="Tahoma" w:hAnsi="Tahoma" w:eastAsia="仿宋_GB2312"/>
      <w:b/>
      <w:sz w:val="24"/>
    </w:rPr>
  </w:style>
  <w:style w:type="character" w:customStyle="1" w:styleId="18">
    <w:name w:val="标题 1 Char"/>
    <w:basedOn w:val="11"/>
    <w:link w:val="2"/>
    <w:qFormat/>
    <w:uiPriority w:val="0"/>
    <w:rPr>
      <w:b/>
      <w:bCs/>
      <w:kern w:val="44"/>
      <w:sz w:val="44"/>
      <w:szCs w:val="44"/>
    </w:rPr>
  </w:style>
  <w:style w:type="paragraph" w:customStyle="1" w:styleId="19">
    <w:name w:val="p0"/>
    <w:basedOn w:val="1"/>
    <w:qFormat/>
    <w:uiPriority w:val="0"/>
    <w:pPr>
      <w:widowControl/>
    </w:pPr>
    <w:rPr>
      <w:kern w:val="0"/>
      <w:szCs w:val="21"/>
    </w:rPr>
  </w:style>
  <w:style w:type="paragraph" w:styleId="20">
    <w:name w:val="List Paragraph"/>
    <w:basedOn w:val="1"/>
    <w:qFormat/>
    <w:uiPriority w:val="34"/>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F:\&#33487;&#32769;&#21307;&#20250;&#25991;&#20214;\&#33487;&#32769;&#21307;&#20250;&#25991;&#20214;&#27169;&#26495;-&#21457;&#25991;.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546E16-0F85-4CA3-A34D-162677DB6737}">
  <ds:schemaRefs/>
</ds:datastoreItem>
</file>

<file path=docProps/app.xml><?xml version="1.0" encoding="utf-8"?>
<Properties xmlns="http://schemas.openxmlformats.org/officeDocument/2006/extended-properties" xmlns:vt="http://schemas.openxmlformats.org/officeDocument/2006/docPropsVTypes">
  <Template>苏老医会文件模板-发文.dotx</Template>
  <Company>医院</Company>
  <Pages>8</Pages>
  <Words>3078</Words>
  <Characters>3088</Characters>
  <Lines>22</Lines>
  <Paragraphs>6</Paragraphs>
  <TotalTime>21</TotalTime>
  <ScaleCrop>false</ScaleCrop>
  <LinksUpToDate>false</LinksUpToDate>
  <CharactersWithSpaces>3180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2018-10-11T02:13:00Z</dcterms:created>
  <dc:creator>Administrator</dc:creator>
  <cp:lastModifiedBy>P.X.X</cp:lastModifiedBy>
  <cp:lastPrinted>2018-08-08T07:00:00Z</cp:lastPrinted>
  <dcterms:modified xsi:type="dcterms:W3CDTF">2026-07-23T00:36:59Z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eyJoZGlkIjoiODE0ZTI3ZjI5NWIyNDE2ZTE2MGZkZGNlM2Y1ZjI2ZmYiLCJ1c2VySWQiOiI0NzE3MTE1NjUifQ==</vt:lpwstr>
  </property>
  <property fmtid="{D5CDD505-2E9C-101B-9397-08002B2CF9AE}" pid="3" name="KSOProductBuildVer">
    <vt:lpwstr>2052-12.1.0.26895</vt:lpwstr>
  </property>
  <property fmtid="{D5CDD505-2E9C-101B-9397-08002B2CF9AE}" pid="4" name="ICV">
    <vt:lpwstr>253FF8571E1B4C2D98589BB3EB9279E4_12</vt:lpwstr>
  </property>
</Properties>
</file>